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634CA" w14:paraId="1AE5BD7B" w14:textId="77777777" w:rsidTr="00345119">
        <w:tc>
          <w:tcPr>
            <w:tcW w:w="9576" w:type="dxa"/>
            <w:noWrap/>
          </w:tcPr>
          <w:p w14:paraId="349A34BB" w14:textId="77777777" w:rsidR="008423E4" w:rsidRPr="0022177D" w:rsidRDefault="00995E68" w:rsidP="00A86AA4">
            <w:pPr>
              <w:pStyle w:val="Heading1"/>
            </w:pPr>
            <w:r w:rsidRPr="00631897">
              <w:t>BILL ANALYSIS</w:t>
            </w:r>
          </w:p>
        </w:tc>
      </w:tr>
    </w:tbl>
    <w:p w14:paraId="7AA2DF76" w14:textId="77777777" w:rsidR="008423E4" w:rsidRPr="0022177D" w:rsidRDefault="008423E4" w:rsidP="00A86AA4">
      <w:pPr>
        <w:jc w:val="center"/>
      </w:pPr>
    </w:p>
    <w:p w14:paraId="5563B285" w14:textId="77777777" w:rsidR="008423E4" w:rsidRPr="00B31F0E" w:rsidRDefault="008423E4" w:rsidP="00A86AA4"/>
    <w:p w14:paraId="6CC46D82" w14:textId="77777777" w:rsidR="008423E4" w:rsidRPr="00742794" w:rsidRDefault="008423E4" w:rsidP="00A86AA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634CA" w14:paraId="03241110" w14:textId="77777777" w:rsidTr="00345119">
        <w:tc>
          <w:tcPr>
            <w:tcW w:w="9576" w:type="dxa"/>
          </w:tcPr>
          <w:p w14:paraId="46AA0239" w14:textId="6E0377B6" w:rsidR="008423E4" w:rsidRPr="00861995" w:rsidRDefault="00995E68" w:rsidP="00A86AA4">
            <w:pPr>
              <w:jc w:val="right"/>
            </w:pPr>
            <w:r>
              <w:t>C.S.H.B. 1597</w:t>
            </w:r>
          </w:p>
        </w:tc>
      </w:tr>
      <w:tr w:rsidR="008634CA" w14:paraId="74AF707A" w14:textId="77777777" w:rsidTr="00345119">
        <w:tc>
          <w:tcPr>
            <w:tcW w:w="9576" w:type="dxa"/>
          </w:tcPr>
          <w:p w14:paraId="19AF49D0" w14:textId="572958AD" w:rsidR="008423E4" w:rsidRPr="00861995" w:rsidRDefault="00995E68" w:rsidP="00A86AA4">
            <w:pPr>
              <w:jc w:val="right"/>
            </w:pPr>
            <w:r>
              <w:t xml:space="preserve">By: </w:t>
            </w:r>
            <w:r w:rsidR="00424445">
              <w:t>Murr</w:t>
            </w:r>
          </w:p>
        </w:tc>
      </w:tr>
      <w:tr w:rsidR="008634CA" w14:paraId="4AF69CF2" w14:textId="77777777" w:rsidTr="00345119">
        <w:tc>
          <w:tcPr>
            <w:tcW w:w="9576" w:type="dxa"/>
          </w:tcPr>
          <w:p w14:paraId="097AE6D8" w14:textId="3182E007" w:rsidR="008423E4" w:rsidRPr="00861995" w:rsidRDefault="00995E68" w:rsidP="00A86AA4">
            <w:pPr>
              <w:jc w:val="right"/>
            </w:pPr>
            <w:r>
              <w:t>State Affairs</w:t>
            </w:r>
          </w:p>
        </w:tc>
      </w:tr>
      <w:tr w:rsidR="008634CA" w14:paraId="1A1B4042" w14:textId="77777777" w:rsidTr="00345119">
        <w:tc>
          <w:tcPr>
            <w:tcW w:w="9576" w:type="dxa"/>
          </w:tcPr>
          <w:p w14:paraId="71EFDDC2" w14:textId="30675A95" w:rsidR="008423E4" w:rsidRDefault="00995E68" w:rsidP="00A86AA4">
            <w:pPr>
              <w:jc w:val="right"/>
            </w:pPr>
            <w:r>
              <w:t>Committee Report (Substituted)</w:t>
            </w:r>
          </w:p>
        </w:tc>
      </w:tr>
    </w:tbl>
    <w:p w14:paraId="227CE34B" w14:textId="77777777" w:rsidR="008423E4" w:rsidRDefault="008423E4" w:rsidP="00A86AA4">
      <w:pPr>
        <w:tabs>
          <w:tab w:val="right" w:pos="9360"/>
        </w:tabs>
      </w:pPr>
    </w:p>
    <w:p w14:paraId="2C287A61" w14:textId="77777777" w:rsidR="008423E4" w:rsidRDefault="008423E4" w:rsidP="00A86AA4"/>
    <w:p w14:paraId="27EBB5AE" w14:textId="77777777" w:rsidR="008423E4" w:rsidRDefault="008423E4" w:rsidP="00A86AA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634CA" w14:paraId="56575FC5" w14:textId="77777777" w:rsidTr="00566E60">
        <w:tc>
          <w:tcPr>
            <w:tcW w:w="9360" w:type="dxa"/>
          </w:tcPr>
          <w:p w14:paraId="18A590E8" w14:textId="77777777" w:rsidR="008423E4" w:rsidRPr="00A8133F" w:rsidRDefault="00995E68" w:rsidP="00A86AA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2B4CCB4" w14:textId="77777777" w:rsidR="008423E4" w:rsidRDefault="008423E4" w:rsidP="00A86AA4"/>
          <w:p w14:paraId="0D1DE69E" w14:textId="4FECCC9C" w:rsidR="008423E4" w:rsidRDefault="00995E68" w:rsidP="00A86A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571B7">
              <w:t xml:space="preserve">In 2020, the </w:t>
            </w:r>
            <w:r>
              <w:t>Public Utility Commission of Texas (</w:t>
            </w:r>
            <w:r w:rsidRPr="008571B7">
              <w:t>PUC</w:t>
            </w:r>
            <w:r>
              <w:t>)</w:t>
            </w:r>
            <w:r w:rsidRPr="008571B7">
              <w:t xml:space="preserve"> rejected two unopposed tariff filings, deciding for the first time that </w:t>
            </w:r>
            <w:r>
              <w:t xml:space="preserve">the Public Utility Regulatory Act </w:t>
            </w:r>
            <w:r w:rsidRPr="008571B7">
              <w:t xml:space="preserve">prohibits </w:t>
            </w:r>
            <w:r>
              <w:t xml:space="preserve">trade </w:t>
            </w:r>
            <w:r w:rsidRPr="008571B7">
              <w:t xml:space="preserve">associations from filing shared tariffs because the law </w:t>
            </w:r>
            <w:r w:rsidR="001521F0">
              <w:t xml:space="preserve">specifically </w:t>
            </w:r>
            <w:r w:rsidRPr="008571B7">
              <w:t xml:space="preserve">says that a public utility </w:t>
            </w:r>
            <w:r w:rsidR="001521F0">
              <w:t>must</w:t>
            </w:r>
            <w:r w:rsidR="001521F0" w:rsidRPr="008571B7">
              <w:t xml:space="preserve"> </w:t>
            </w:r>
            <w:r w:rsidRPr="008571B7">
              <w:t xml:space="preserve">file </w:t>
            </w:r>
            <w:r w:rsidR="001521F0">
              <w:t xml:space="preserve">a tariff </w:t>
            </w:r>
            <w:r w:rsidRPr="008571B7">
              <w:t xml:space="preserve">with the </w:t>
            </w:r>
            <w:r w:rsidR="001521F0">
              <w:t>PUC.</w:t>
            </w:r>
            <w:r>
              <w:t xml:space="preserve"> </w:t>
            </w:r>
            <w:r w:rsidR="001521F0">
              <w:t>C.S.H.B.</w:t>
            </w:r>
            <w:r w:rsidRPr="008571B7">
              <w:t xml:space="preserve"> 1597 seeks to</w:t>
            </w:r>
            <w:r w:rsidR="001521F0">
              <w:t xml:space="preserve"> address this issue by</w:t>
            </w:r>
            <w:r w:rsidRPr="008571B7">
              <w:t xml:space="preserve"> allow</w:t>
            </w:r>
            <w:r w:rsidR="001521F0">
              <w:t>ing</w:t>
            </w:r>
            <w:r w:rsidRPr="008571B7">
              <w:t xml:space="preserve"> groups of utilities to file unified tariffs</w:t>
            </w:r>
            <w:r w:rsidR="001521F0">
              <w:t>,</w:t>
            </w:r>
            <w:r w:rsidRPr="008571B7">
              <w:t xml:space="preserve"> allow for trade associations to file tariffs on behalf of </w:t>
            </w:r>
            <w:r w:rsidR="001521F0">
              <w:t xml:space="preserve">a </w:t>
            </w:r>
            <w:r w:rsidRPr="008571B7">
              <w:t>group of providers</w:t>
            </w:r>
            <w:r w:rsidR="001521F0">
              <w:t>, and</w:t>
            </w:r>
            <w:r w:rsidRPr="008571B7">
              <w:t xml:space="preserve"> allow holding companies to file unified tariffs for all operating companies o</w:t>
            </w:r>
            <w:r w:rsidRPr="008571B7">
              <w:t>wned or operated by the holding company.</w:t>
            </w:r>
          </w:p>
          <w:p w14:paraId="4F24EAFA" w14:textId="77777777" w:rsidR="008423E4" w:rsidRPr="00E26B13" w:rsidRDefault="008423E4" w:rsidP="00A86AA4">
            <w:pPr>
              <w:rPr>
                <w:b/>
              </w:rPr>
            </w:pPr>
          </w:p>
        </w:tc>
      </w:tr>
      <w:tr w:rsidR="008634CA" w14:paraId="02B033F7" w14:textId="77777777" w:rsidTr="00566E60">
        <w:tc>
          <w:tcPr>
            <w:tcW w:w="9360" w:type="dxa"/>
          </w:tcPr>
          <w:p w14:paraId="7101F86F" w14:textId="77777777" w:rsidR="0017725B" w:rsidRDefault="00995E68" w:rsidP="00A86A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3A49B6E" w14:textId="77777777" w:rsidR="0017725B" w:rsidRDefault="0017725B" w:rsidP="00A86AA4">
            <w:pPr>
              <w:rPr>
                <w:b/>
                <w:u w:val="single"/>
              </w:rPr>
            </w:pPr>
          </w:p>
          <w:p w14:paraId="506A173B" w14:textId="77777777" w:rsidR="0017725B" w:rsidRDefault="00995E68" w:rsidP="00A86AA4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</w:t>
            </w:r>
            <w:r>
              <w:t>ligibility of a person for community supervision, parole, or mandatory supervision.</w:t>
            </w:r>
          </w:p>
          <w:p w14:paraId="49740352" w14:textId="1402F47D" w:rsidR="00A86AA4" w:rsidRPr="0017725B" w:rsidRDefault="00A86AA4" w:rsidP="00A86AA4">
            <w:pPr>
              <w:jc w:val="both"/>
              <w:rPr>
                <w:b/>
                <w:u w:val="single"/>
              </w:rPr>
            </w:pPr>
          </w:p>
        </w:tc>
      </w:tr>
      <w:tr w:rsidR="008634CA" w14:paraId="12E231D2" w14:textId="77777777" w:rsidTr="00566E60">
        <w:tc>
          <w:tcPr>
            <w:tcW w:w="9360" w:type="dxa"/>
          </w:tcPr>
          <w:p w14:paraId="3CC62FAC" w14:textId="77777777" w:rsidR="008423E4" w:rsidRPr="00A8133F" w:rsidRDefault="00995E68" w:rsidP="00A86AA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A1FA205" w14:textId="77777777" w:rsidR="008423E4" w:rsidRDefault="008423E4" w:rsidP="00A86AA4"/>
          <w:p w14:paraId="4B5FF5C3" w14:textId="77777777" w:rsidR="008423E4" w:rsidRDefault="00995E68" w:rsidP="00A86A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</w:t>
            </w:r>
            <w:r>
              <w:t>department, agency, or institution.</w:t>
            </w:r>
          </w:p>
          <w:p w14:paraId="2BF28B99" w14:textId="110A18A4" w:rsidR="00A86AA4" w:rsidRPr="00E21FDC" w:rsidRDefault="00A86AA4" w:rsidP="00A86A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8634CA" w14:paraId="081C97B9" w14:textId="77777777" w:rsidTr="00566E60">
        <w:tc>
          <w:tcPr>
            <w:tcW w:w="9360" w:type="dxa"/>
          </w:tcPr>
          <w:p w14:paraId="0A9DF279" w14:textId="77777777" w:rsidR="008423E4" w:rsidRPr="00A8133F" w:rsidRDefault="00995E68" w:rsidP="00A86AA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86BD3BC" w14:textId="77777777" w:rsidR="008423E4" w:rsidRDefault="008423E4" w:rsidP="00A86AA4"/>
          <w:p w14:paraId="115DD6AC" w14:textId="7D006FA5" w:rsidR="000C4317" w:rsidRDefault="00995E68" w:rsidP="00A86A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04393A">
              <w:t xml:space="preserve">H.B. 1597 amends the Utilities Code to </w:t>
            </w:r>
            <w:r w:rsidR="008571B7">
              <w:t xml:space="preserve">authorize a trade association or an affiliate to </w:t>
            </w:r>
            <w:r w:rsidR="00D62227">
              <w:t>file the</w:t>
            </w:r>
            <w:r w:rsidR="008571B7">
              <w:t xml:space="preserve"> requisite</w:t>
            </w:r>
            <w:r w:rsidR="00D62227">
              <w:t xml:space="preserve"> tariff </w:t>
            </w:r>
            <w:r w:rsidR="008571B7">
              <w:t xml:space="preserve">under the Public Utility Regulatory Act </w:t>
            </w:r>
            <w:r w:rsidR="00945E78">
              <w:t xml:space="preserve">on behalf of </w:t>
            </w:r>
            <w:r w:rsidR="00E2435F">
              <w:t>a</w:t>
            </w:r>
            <w:r w:rsidR="007D1DDA">
              <w:t xml:space="preserve"> public</w:t>
            </w:r>
            <w:r w:rsidR="00E2435F">
              <w:t xml:space="preserve"> telecommunications</w:t>
            </w:r>
            <w:r w:rsidR="007D1DDA">
              <w:t xml:space="preserve"> utility</w:t>
            </w:r>
            <w:r w:rsidR="00D62227">
              <w:t>.</w:t>
            </w:r>
            <w:r>
              <w:t xml:space="preserve"> </w:t>
            </w:r>
            <w:r w:rsidR="00D62227">
              <w:t xml:space="preserve">With respect to the processing of a tariff application by the Public </w:t>
            </w:r>
            <w:r w:rsidR="00D85195">
              <w:t>U</w:t>
            </w:r>
            <w:r w:rsidR="00D62227">
              <w:t>tility Commission of Texas (PUC),</w:t>
            </w:r>
            <w:r>
              <w:t xml:space="preserve"> </w:t>
            </w:r>
            <w:r w:rsidR="00D62227">
              <w:t>the bill provides</w:t>
            </w:r>
            <w:r>
              <w:t xml:space="preserve"> the following:</w:t>
            </w:r>
          </w:p>
          <w:p w14:paraId="7609AA48" w14:textId="201F099B" w:rsidR="00D62227" w:rsidRDefault="00995E68" w:rsidP="00A86AA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04393A">
              <w:t xml:space="preserve">a tariff application </w:t>
            </w:r>
            <w:r w:rsidR="00E06D9A">
              <w:t xml:space="preserve">is </w:t>
            </w:r>
            <w:r>
              <w:t xml:space="preserve">considered </w:t>
            </w:r>
            <w:r w:rsidRPr="0004393A">
              <w:t xml:space="preserve">approved if </w:t>
            </w:r>
            <w:r>
              <w:t>the PUC does not approve or deny the tariff</w:t>
            </w:r>
            <w:r>
              <w:t xml:space="preserve"> filing or request supplemental information from the public utility, affiliate, or trade association that file</w:t>
            </w:r>
            <w:r w:rsidR="008571B7">
              <w:t>d</w:t>
            </w:r>
            <w:r>
              <w:t xml:space="preserve"> the tariff before the</w:t>
            </w:r>
            <w:r w:rsidRPr="0004393A">
              <w:t xml:space="preserve"> 60</w:t>
            </w:r>
            <w:r>
              <w:t>th</w:t>
            </w:r>
            <w:r w:rsidRPr="0004393A">
              <w:t xml:space="preserve"> day after receiving the </w:t>
            </w:r>
            <w:r>
              <w:t>filing;</w:t>
            </w:r>
            <w:r w:rsidRPr="0004393A">
              <w:t xml:space="preserve"> </w:t>
            </w:r>
          </w:p>
          <w:p w14:paraId="2DA08E36" w14:textId="60506EF7" w:rsidR="00D85195" w:rsidRDefault="00995E68" w:rsidP="00A86AA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i</w:t>
            </w:r>
            <w:r w:rsidR="009E7A83">
              <w:t>f the PUC requests supplemental information</w:t>
            </w:r>
            <w:r w:rsidR="005873D7">
              <w:t xml:space="preserve"> from the public utility</w:t>
            </w:r>
            <w:r w:rsidR="009E7A83">
              <w:t>, the public utility</w:t>
            </w:r>
            <w:r>
              <w:t>, affiliate, or trade association</w:t>
            </w:r>
            <w:r w:rsidR="009E7A83">
              <w:t xml:space="preserve"> </w:t>
            </w:r>
            <w:r w:rsidR="008571B7">
              <w:t>must</w:t>
            </w:r>
            <w:r w:rsidR="00C8040C">
              <w:t xml:space="preserve"> provide </w:t>
            </w:r>
            <w:r w:rsidR="009E7A83">
              <w:t xml:space="preserve">the PUC with the </w:t>
            </w:r>
            <w:r w:rsidR="00C8040C">
              <w:t>requested information</w:t>
            </w:r>
            <w:r>
              <w:t xml:space="preserve"> not later than the 15th day after receiving the request;</w:t>
            </w:r>
            <w:r w:rsidR="00C8040C">
              <w:t xml:space="preserve"> </w:t>
            </w:r>
            <w:r>
              <w:t>and</w:t>
            </w:r>
          </w:p>
          <w:p w14:paraId="0FE3009A" w14:textId="3C7D665F" w:rsidR="00D85195" w:rsidRDefault="00995E68" w:rsidP="00A86AA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C8040C">
              <w:t xml:space="preserve">a tariff </w:t>
            </w:r>
            <w:r>
              <w:t>filing</w:t>
            </w:r>
            <w:r w:rsidRPr="00C8040C">
              <w:t xml:space="preserve"> </w:t>
            </w:r>
            <w:r w:rsidR="009E7A83">
              <w:t>is</w:t>
            </w:r>
            <w:r w:rsidRPr="00C8040C">
              <w:t xml:space="preserve"> </w:t>
            </w:r>
            <w:r>
              <w:t>considered</w:t>
            </w:r>
            <w:r w:rsidRPr="00C8040C">
              <w:t xml:space="preserve"> </w:t>
            </w:r>
            <w:r w:rsidRPr="00C8040C">
              <w:t xml:space="preserve">approved if the PUC does not either approve or </w:t>
            </w:r>
            <w:r>
              <w:t>deny</w:t>
            </w:r>
            <w:r w:rsidRPr="00C8040C">
              <w:t xml:space="preserve"> the </w:t>
            </w:r>
            <w:r>
              <w:t>filing before the 30th day after the PUC receives the requested supplemental information</w:t>
            </w:r>
            <w:r w:rsidRPr="00C8040C">
              <w:t>.</w:t>
            </w:r>
          </w:p>
          <w:p w14:paraId="0AD7DA6D" w14:textId="77777777" w:rsidR="008423E4" w:rsidRDefault="00995E68" w:rsidP="00A86A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</w:t>
            </w:r>
            <w:r w:rsidR="005873D7">
              <w:t xml:space="preserve"> bill's</w:t>
            </w:r>
            <w:r>
              <w:t xml:space="preserve"> provisions apply only to a tariff filed </w:t>
            </w:r>
            <w:r w:rsidRPr="00566E60">
              <w:t xml:space="preserve">on or after the </w:t>
            </w:r>
            <w:r>
              <w:t xml:space="preserve">bill's </w:t>
            </w:r>
            <w:r w:rsidRPr="00566E60">
              <w:t>effective date</w:t>
            </w:r>
            <w:r>
              <w:t>.</w:t>
            </w:r>
          </w:p>
          <w:p w14:paraId="1A1DE666" w14:textId="3B641DCB" w:rsidR="00A86AA4" w:rsidRPr="00C8040C" w:rsidRDefault="00A86AA4" w:rsidP="00A86A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8634CA" w14:paraId="4C421472" w14:textId="77777777" w:rsidTr="00566E60">
        <w:tc>
          <w:tcPr>
            <w:tcW w:w="9360" w:type="dxa"/>
          </w:tcPr>
          <w:p w14:paraId="4BF53E51" w14:textId="77777777" w:rsidR="008423E4" w:rsidRPr="00A8133F" w:rsidRDefault="00995E68" w:rsidP="00A86AA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A64866A" w14:textId="77777777" w:rsidR="008423E4" w:rsidRDefault="008423E4" w:rsidP="00A86AA4"/>
          <w:p w14:paraId="4C29D95F" w14:textId="77777777" w:rsidR="008423E4" w:rsidRDefault="00995E68" w:rsidP="00A86A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</w:t>
            </w:r>
            <w:r>
              <w:t>eptember 1, 2023.</w:t>
            </w:r>
          </w:p>
          <w:p w14:paraId="13A73D77" w14:textId="77777777" w:rsidR="00A86AA4" w:rsidRDefault="00A86AA4" w:rsidP="00A86A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  <w:p w14:paraId="1EF230AD" w14:textId="7C84F490" w:rsidR="00A86AA4" w:rsidRPr="00233FDB" w:rsidRDefault="00A86AA4" w:rsidP="00A86A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8634CA" w14:paraId="775825F0" w14:textId="77777777" w:rsidTr="00566E60">
        <w:trPr>
          <w:trHeight w:val="1017"/>
        </w:trPr>
        <w:tc>
          <w:tcPr>
            <w:tcW w:w="9360" w:type="dxa"/>
          </w:tcPr>
          <w:p w14:paraId="4D5FAD4F" w14:textId="7EA1F765" w:rsidR="00566E60" w:rsidRDefault="00995E68" w:rsidP="00A86AA4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69CD341" w14:textId="77777777" w:rsidR="00566E60" w:rsidRPr="00566E60" w:rsidRDefault="00566E60" w:rsidP="00A86AA4">
            <w:pPr>
              <w:jc w:val="both"/>
              <w:rPr>
                <w:b/>
                <w:u w:val="single"/>
              </w:rPr>
            </w:pPr>
          </w:p>
          <w:p w14:paraId="125C2CF5" w14:textId="7276C7E7" w:rsidR="00566E60" w:rsidRDefault="00995E68" w:rsidP="00A86AA4">
            <w:pPr>
              <w:jc w:val="both"/>
            </w:pPr>
            <w:r>
              <w:t xml:space="preserve">While C.S.H.B. 1597 may differ from the introduced in minor or nonsubstantive ways, the following summarizes the substantial differences between the introduced and committee substitute versions </w:t>
            </w:r>
            <w:r>
              <w:t>of the bill.</w:t>
            </w:r>
          </w:p>
          <w:p w14:paraId="1B41FE86" w14:textId="77777777" w:rsidR="00566E60" w:rsidRPr="00566E60" w:rsidRDefault="00566E60" w:rsidP="00A86AA4">
            <w:pPr>
              <w:jc w:val="both"/>
            </w:pPr>
          </w:p>
          <w:p w14:paraId="5030B337" w14:textId="0756D7B6" w:rsidR="00566E60" w:rsidRPr="00424445" w:rsidRDefault="00995E68" w:rsidP="00A86AA4">
            <w:pPr>
              <w:jc w:val="both"/>
              <w:rPr>
                <w:b/>
                <w:u w:val="single"/>
              </w:rPr>
            </w:pPr>
            <w:r>
              <w:rPr>
                <w:bCs/>
              </w:rPr>
              <w:t xml:space="preserve">The substitute includes a provision absent from the introduced </w:t>
            </w:r>
            <w:r w:rsidR="005873D7">
              <w:rPr>
                <w:bCs/>
              </w:rPr>
              <w:t>establishing</w:t>
            </w:r>
            <w:r>
              <w:rPr>
                <w:bCs/>
              </w:rPr>
              <w:t xml:space="preserve"> that the bill's provisions apply only to a tariff filed on or after the bill's effective date. </w:t>
            </w:r>
          </w:p>
        </w:tc>
      </w:tr>
    </w:tbl>
    <w:p w14:paraId="1E172AB7" w14:textId="77777777" w:rsidR="008423E4" w:rsidRPr="00BE0E75" w:rsidRDefault="008423E4" w:rsidP="00A86AA4">
      <w:pPr>
        <w:jc w:val="both"/>
        <w:rPr>
          <w:rFonts w:ascii="Arial" w:hAnsi="Arial"/>
          <w:sz w:val="16"/>
          <w:szCs w:val="16"/>
        </w:rPr>
      </w:pPr>
    </w:p>
    <w:p w14:paraId="79CE6506" w14:textId="77777777" w:rsidR="004108C3" w:rsidRPr="008423E4" w:rsidRDefault="004108C3" w:rsidP="00A86AA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17024" w14:textId="77777777" w:rsidR="00000000" w:rsidRDefault="00995E68">
      <w:r>
        <w:separator/>
      </w:r>
    </w:p>
  </w:endnote>
  <w:endnote w:type="continuationSeparator" w:id="0">
    <w:p w14:paraId="2267A9F4" w14:textId="77777777" w:rsidR="00000000" w:rsidRDefault="0099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1FDD" w14:textId="77777777" w:rsidR="008802C3" w:rsidRDefault="008802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634CA" w14:paraId="5EC1A2DA" w14:textId="77777777" w:rsidTr="009C1E9A">
      <w:trPr>
        <w:cantSplit/>
      </w:trPr>
      <w:tc>
        <w:tcPr>
          <w:tcW w:w="0" w:type="pct"/>
        </w:tcPr>
        <w:p w14:paraId="5B1C192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FFCCD4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05BB87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9BFA1D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7B17AD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634CA" w14:paraId="21664772" w14:textId="77777777" w:rsidTr="009C1E9A">
      <w:trPr>
        <w:cantSplit/>
      </w:trPr>
      <w:tc>
        <w:tcPr>
          <w:tcW w:w="0" w:type="pct"/>
        </w:tcPr>
        <w:p w14:paraId="459179D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8FCBFA4" w14:textId="45D4A0F4" w:rsidR="00EC379B" w:rsidRPr="009C1E9A" w:rsidRDefault="00995E6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24135-D</w:t>
          </w:r>
        </w:p>
      </w:tc>
      <w:tc>
        <w:tcPr>
          <w:tcW w:w="2453" w:type="pct"/>
        </w:tcPr>
        <w:p w14:paraId="1350E4CD" w14:textId="5EDA6505" w:rsidR="00EC379B" w:rsidRDefault="00995E6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86AA4">
            <w:t>23.107.995</w:t>
          </w:r>
          <w:r>
            <w:fldChar w:fldCharType="end"/>
          </w:r>
        </w:p>
      </w:tc>
    </w:tr>
    <w:tr w:rsidR="008634CA" w14:paraId="405E2981" w14:textId="77777777" w:rsidTr="009C1E9A">
      <w:trPr>
        <w:cantSplit/>
      </w:trPr>
      <w:tc>
        <w:tcPr>
          <w:tcW w:w="0" w:type="pct"/>
        </w:tcPr>
        <w:p w14:paraId="6BCF920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52186BC" w14:textId="04D92A96" w:rsidR="00EC379B" w:rsidRPr="009C1E9A" w:rsidRDefault="00995E6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15602</w:t>
          </w:r>
        </w:p>
      </w:tc>
      <w:tc>
        <w:tcPr>
          <w:tcW w:w="2453" w:type="pct"/>
        </w:tcPr>
        <w:p w14:paraId="423AA7B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F4049D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634CA" w14:paraId="2A790B0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76B169F" w14:textId="77777777" w:rsidR="00EC379B" w:rsidRDefault="00995E6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24FCD0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0A855E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7BB4C" w14:textId="77777777" w:rsidR="008802C3" w:rsidRDefault="00880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38002" w14:textId="77777777" w:rsidR="00000000" w:rsidRDefault="00995E68">
      <w:r>
        <w:separator/>
      </w:r>
    </w:p>
  </w:footnote>
  <w:footnote w:type="continuationSeparator" w:id="0">
    <w:p w14:paraId="0A863AAA" w14:textId="77777777" w:rsidR="00000000" w:rsidRDefault="00995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FD5D" w14:textId="77777777" w:rsidR="008802C3" w:rsidRDefault="008802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B9E50" w14:textId="77777777" w:rsidR="008802C3" w:rsidRDefault="008802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5A5A4" w14:textId="77777777" w:rsidR="008802C3" w:rsidRDefault="008802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31847"/>
    <w:multiLevelType w:val="hybridMultilevel"/>
    <w:tmpl w:val="0178A534"/>
    <w:lvl w:ilvl="0" w:tplc="7F543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7047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806F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C41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686D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3EA4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227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F0F5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5C0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34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3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75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93A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317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21F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3F6B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B77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3C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375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4445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1EE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4708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081F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5A4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66E60"/>
    <w:rsid w:val="00573401"/>
    <w:rsid w:val="00576188"/>
    <w:rsid w:val="00576714"/>
    <w:rsid w:val="0057685A"/>
    <w:rsid w:val="005832EE"/>
    <w:rsid w:val="005847EF"/>
    <w:rsid w:val="005851E6"/>
    <w:rsid w:val="005873D7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12AC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6896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203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1DDA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0EA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1B7"/>
    <w:rsid w:val="0085797D"/>
    <w:rsid w:val="00860020"/>
    <w:rsid w:val="008618E7"/>
    <w:rsid w:val="00861995"/>
    <w:rsid w:val="0086231A"/>
    <w:rsid w:val="008634C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2C3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313E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5E78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5E68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1FF"/>
    <w:rsid w:val="009D5A41"/>
    <w:rsid w:val="009E13BF"/>
    <w:rsid w:val="009E3631"/>
    <w:rsid w:val="009E3EB9"/>
    <w:rsid w:val="009E69C2"/>
    <w:rsid w:val="009E70AF"/>
    <w:rsid w:val="009E7A83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5218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6AA4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4E1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0F7B"/>
    <w:rsid w:val="00B04E79"/>
    <w:rsid w:val="00B04FD4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356A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40C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2227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5195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6D9A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435F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4219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89E9E1-FD67-4A6D-836B-8C6B43F2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804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04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040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0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040C"/>
    <w:rPr>
      <w:b/>
      <w:bCs/>
    </w:rPr>
  </w:style>
  <w:style w:type="character" w:styleId="Hyperlink">
    <w:name w:val="Hyperlink"/>
    <w:basedOn w:val="DefaultParagraphFont"/>
    <w:unhideWhenUsed/>
    <w:rsid w:val="00E06D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6D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3F6B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027E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2337</Characters>
  <Application>Microsoft Office Word</Application>
  <DocSecurity>4</DocSecurity>
  <Lines>62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HB01597 (Committee Report (Substituted))</vt:lpstr>
    </vt:vector>
  </TitlesOfParts>
  <Company>State of Texas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24135</dc:subject>
  <dc:creator>State of Texas</dc:creator>
  <dc:description>HB 1597 by Murr-(H)State Affairs (Substitute Document Number: 88R 15602)</dc:description>
  <cp:lastModifiedBy>Stacey Nicchio</cp:lastModifiedBy>
  <cp:revision>2</cp:revision>
  <cp:lastPrinted>2003-11-26T17:21:00Z</cp:lastPrinted>
  <dcterms:created xsi:type="dcterms:W3CDTF">2023-04-21T00:20:00Z</dcterms:created>
  <dcterms:modified xsi:type="dcterms:W3CDTF">2023-04-21T00:20:00Z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23.107.995</vt:lpwstr>
  </property>
</Properties>
</file>