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71C1C" w14:paraId="6E7E34B6" w14:textId="77777777" w:rsidTr="00345119">
        <w:tc>
          <w:tcPr>
            <w:tcW w:w="9576" w:type="dxa"/>
            <w:noWrap/>
          </w:tcPr>
          <w:p w14:paraId="05E648A9" w14:textId="77777777" w:rsidR="008423E4" w:rsidRPr="0022177D" w:rsidRDefault="004B22ED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7AB92898" w14:textId="77777777" w:rsidR="008423E4" w:rsidRPr="0022177D" w:rsidRDefault="008423E4" w:rsidP="008423E4">
      <w:pPr>
        <w:jc w:val="center"/>
      </w:pPr>
    </w:p>
    <w:p w14:paraId="2C574070" w14:textId="77777777" w:rsidR="008423E4" w:rsidRPr="00B31F0E" w:rsidRDefault="008423E4" w:rsidP="008423E4"/>
    <w:p w14:paraId="2A4FCDD9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71C1C" w14:paraId="4A99EA0C" w14:textId="77777777" w:rsidTr="00345119">
        <w:tc>
          <w:tcPr>
            <w:tcW w:w="9576" w:type="dxa"/>
          </w:tcPr>
          <w:p w14:paraId="5298CA68" w14:textId="5F84BC31" w:rsidR="008423E4" w:rsidRPr="00861995" w:rsidRDefault="004B22ED" w:rsidP="00345119">
            <w:pPr>
              <w:jc w:val="right"/>
            </w:pPr>
            <w:r>
              <w:t>C.S.H.B. 1604</w:t>
            </w:r>
          </w:p>
        </w:tc>
      </w:tr>
      <w:tr w:rsidR="00771C1C" w14:paraId="66A85E11" w14:textId="77777777" w:rsidTr="00345119">
        <w:tc>
          <w:tcPr>
            <w:tcW w:w="9576" w:type="dxa"/>
          </w:tcPr>
          <w:p w14:paraId="0DB4A847" w14:textId="4ECCCDC6" w:rsidR="008423E4" w:rsidRPr="00861995" w:rsidRDefault="004B22ED" w:rsidP="00345119">
            <w:pPr>
              <w:jc w:val="right"/>
            </w:pPr>
            <w:r>
              <w:t xml:space="preserve">By: </w:t>
            </w:r>
            <w:r w:rsidR="00976B0A">
              <w:t>González, Mary</w:t>
            </w:r>
          </w:p>
        </w:tc>
      </w:tr>
      <w:tr w:rsidR="00771C1C" w14:paraId="4771ACCD" w14:textId="77777777" w:rsidTr="00345119">
        <w:tc>
          <w:tcPr>
            <w:tcW w:w="9576" w:type="dxa"/>
          </w:tcPr>
          <w:p w14:paraId="642DADCE" w14:textId="1993BDF3" w:rsidR="008423E4" w:rsidRPr="00861995" w:rsidRDefault="004B22ED" w:rsidP="00345119">
            <w:pPr>
              <w:jc w:val="right"/>
            </w:pPr>
            <w:r>
              <w:t>Higher Education</w:t>
            </w:r>
          </w:p>
        </w:tc>
      </w:tr>
      <w:tr w:rsidR="00771C1C" w14:paraId="47316320" w14:textId="77777777" w:rsidTr="00345119">
        <w:tc>
          <w:tcPr>
            <w:tcW w:w="9576" w:type="dxa"/>
          </w:tcPr>
          <w:p w14:paraId="6EFEFCB3" w14:textId="4BD0F53B" w:rsidR="008423E4" w:rsidRDefault="004B22ED" w:rsidP="00345119">
            <w:pPr>
              <w:jc w:val="right"/>
            </w:pPr>
            <w:r>
              <w:t>Committee Report (Substituted)</w:t>
            </w:r>
          </w:p>
        </w:tc>
      </w:tr>
    </w:tbl>
    <w:p w14:paraId="4CB4A574" w14:textId="77777777" w:rsidR="008423E4" w:rsidRDefault="008423E4" w:rsidP="008423E4">
      <w:pPr>
        <w:tabs>
          <w:tab w:val="right" w:pos="9360"/>
        </w:tabs>
      </w:pPr>
    </w:p>
    <w:p w14:paraId="493C4362" w14:textId="77777777" w:rsidR="008423E4" w:rsidRDefault="008423E4" w:rsidP="008423E4"/>
    <w:p w14:paraId="27F1E430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71C1C" w14:paraId="5AE88AAF" w14:textId="77777777" w:rsidTr="00345119">
        <w:tc>
          <w:tcPr>
            <w:tcW w:w="9576" w:type="dxa"/>
          </w:tcPr>
          <w:p w14:paraId="05CBDA43" w14:textId="77777777" w:rsidR="008423E4" w:rsidRPr="00A8133F" w:rsidRDefault="004B22ED" w:rsidP="00365E5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80E120" w14:textId="77777777" w:rsidR="008423E4" w:rsidRDefault="008423E4" w:rsidP="00365E5F"/>
          <w:p w14:paraId="03498FF3" w14:textId="618F82B2" w:rsidR="008423E4" w:rsidRDefault="004B22ED" w:rsidP="00365E5F">
            <w:pPr>
              <w:pStyle w:val="Header"/>
              <w:jc w:val="both"/>
            </w:pPr>
            <w:r>
              <w:t xml:space="preserve">Constituents with disabilities and advocates for people with </w:t>
            </w:r>
            <w:r w:rsidR="006F0DDB">
              <w:t xml:space="preserve">a </w:t>
            </w:r>
            <w:r>
              <w:t>disabilit</w:t>
            </w:r>
            <w:r w:rsidR="006F0DDB">
              <w:t>y</w:t>
            </w:r>
            <w:r>
              <w:t xml:space="preserve"> have been pursuing the removal of barriers to success in higher education facing students with </w:t>
            </w:r>
            <w:r w:rsidR="006F0DDB">
              <w:t xml:space="preserve">a </w:t>
            </w:r>
            <w:r>
              <w:t>disabilit</w:t>
            </w:r>
            <w:r w:rsidR="006F0DDB">
              <w:t>y</w:t>
            </w:r>
            <w:r>
              <w:t xml:space="preserve"> for a number of years. Advocates cite anecdotes indicating some of those barriers in Texas, but comprehensive </w:t>
            </w:r>
            <w:r w:rsidR="006F0DDB">
              <w:t>reporting</w:t>
            </w:r>
            <w:r>
              <w:t xml:space="preserve"> of barriers </w:t>
            </w:r>
            <w:r w:rsidR="006F0DDB">
              <w:t>must occur</w:t>
            </w:r>
            <w:r>
              <w:t xml:space="preserve"> befo</w:t>
            </w:r>
            <w:r>
              <w:t xml:space="preserve">re </w:t>
            </w:r>
            <w:r w:rsidR="006F0DDB">
              <w:t>they</w:t>
            </w:r>
            <w:r>
              <w:t xml:space="preserve"> can be addressed. </w:t>
            </w:r>
            <w:r w:rsidR="006F0DDB">
              <w:t>C.S.</w:t>
            </w:r>
            <w:r>
              <w:t>H</w:t>
            </w:r>
            <w:r w:rsidR="006F0DDB">
              <w:t>.</w:t>
            </w:r>
            <w:r>
              <w:t>B</w:t>
            </w:r>
            <w:r w:rsidR="006F0DDB">
              <w:t>.</w:t>
            </w:r>
            <w:r>
              <w:t xml:space="preserve"> 1604 </w:t>
            </w:r>
            <w:r w:rsidR="006F0DDB">
              <w:t xml:space="preserve">seeks to take a step toward identification of such barriers by </w:t>
            </w:r>
            <w:r>
              <w:t>requir</w:t>
            </w:r>
            <w:r w:rsidR="006F0DDB">
              <w:t>ing</w:t>
            </w:r>
            <w:r>
              <w:t xml:space="preserve"> the Texas Higher Education Coordinating Board to report on </w:t>
            </w:r>
            <w:r w:rsidR="006F0DDB">
              <w:t xml:space="preserve">certain information relating to the enrollment and success in higher education </w:t>
            </w:r>
            <w:r>
              <w:t>for s</w:t>
            </w:r>
            <w:r>
              <w:t xml:space="preserve">tudents with </w:t>
            </w:r>
            <w:r w:rsidR="006F0DDB">
              <w:t xml:space="preserve">a </w:t>
            </w:r>
            <w:r>
              <w:t>disabilit</w:t>
            </w:r>
            <w:r w:rsidR="006F0DDB">
              <w:t>y</w:t>
            </w:r>
            <w:r>
              <w:t>.</w:t>
            </w:r>
          </w:p>
          <w:p w14:paraId="3824128D" w14:textId="77777777" w:rsidR="008423E4" w:rsidRPr="00E26B13" w:rsidRDefault="008423E4" w:rsidP="00365E5F">
            <w:pPr>
              <w:rPr>
                <w:b/>
              </w:rPr>
            </w:pPr>
          </w:p>
        </w:tc>
      </w:tr>
      <w:tr w:rsidR="00771C1C" w14:paraId="720EC514" w14:textId="77777777" w:rsidTr="00345119">
        <w:tc>
          <w:tcPr>
            <w:tcW w:w="9576" w:type="dxa"/>
          </w:tcPr>
          <w:p w14:paraId="261D35CA" w14:textId="77777777" w:rsidR="0017725B" w:rsidRDefault="004B22ED" w:rsidP="00365E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A55488" w14:textId="77777777" w:rsidR="0017725B" w:rsidRDefault="0017725B" w:rsidP="00365E5F">
            <w:pPr>
              <w:rPr>
                <w:b/>
                <w:u w:val="single"/>
              </w:rPr>
            </w:pPr>
          </w:p>
          <w:p w14:paraId="665910E9" w14:textId="01EAA8B8" w:rsidR="004260DF" w:rsidRPr="004260DF" w:rsidRDefault="004B22ED" w:rsidP="00365E5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</w:t>
            </w:r>
            <w:r>
              <w:t>a person for community supervision, parole, or mandatory supervision.</w:t>
            </w:r>
          </w:p>
          <w:p w14:paraId="7555A7AE" w14:textId="77777777" w:rsidR="0017725B" w:rsidRPr="0017725B" w:rsidRDefault="0017725B" w:rsidP="00365E5F">
            <w:pPr>
              <w:rPr>
                <w:b/>
                <w:u w:val="single"/>
              </w:rPr>
            </w:pPr>
          </w:p>
        </w:tc>
      </w:tr>
      <w:tr w:rsidR="00771C1C" w14:paraId="4DBDA803" w14:textId="77777777" w:rsidTr="00345119">
        <w:tc>
          <w:tcPr>
            <w:tcW w:w="9576" w:type="dxa"/>
          </w:tcPr>
          <w:p w14:paraId="3BAB8EAC" w14:textId="77777777" w:rsidR="008423E4" w:rsidRPr="00A8133F" w:rsidRDefault="004B22ED" w:rsidP="00365E5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8D2072" w14:textId="77777777" w:rsidR="008423E4" w:rsidRDefault="008423E4" w:rsidP="00365E5F"/>
          <w:p w14:paraId="4D6F2ED6" w14:textId="3D64B4FD" w:rsidR="004260DF" w:rsidRDefault="004B22ED" w:rsidP="00365E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5B6BB2F8" w14:textId="77777777" w:rsidR="008423E4" w:rsidRPr="00E21FDC" w:rsidRDefault="008423E4" w:rsidP="00365E5F">
            <w:pPr>
              <w:rPr>
                <w:b/>
              </w:rPr>
            </w:pPr>
          </w:p>
        </w:tc>
      </w:tr>
      <w:tr w:rsidR="00771C1C" w14:paraId="0E21AD71" w14:textId="77777777" w:rsidTr="00345119">
        <w:tc>
          <w:tcPr>
            <w:tcW w:w="9576" w:type="dxa"/>
          </w:tcPr>
          <w:p w14:paraId="7FE365B6" w14:textId="77777777" w:rsidR="008423E4" w:rsidRPr="00A8133F" w:rsidRDefault="004B22ED" w:rsidP="00365E5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C1E32A" w14:textId="77777777" w:rsidR="008423E4" w:rsidRDefault="008423E4" w:rsidP="00365E5F"/>
          <w:p w14:paraId="16349967" w14:textId="61C1BE21" w:rsidR="009C36CD" w:rsidRDefault="004B22ED" w:rsidP="00365E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51E9D">
              <w:t>C.S.</w:t>
            </w:r>
            <w:r w:rsidR="00583C01">
              <w:t xml:space="preserve">H.B. 1604 amends the Education Code to </w:t>
            </w:r>
            <w:r w:rsidR="00A811DC">
              <w:t>require the Texas Higher Education Coordinating Board (THECB) to prepare</w:t>
            </w:r>
            <w:r w:rsidR="00AD5D34">
              <w:t xml:space="preserve"> and submit to the legislature</w:t>
            </w:r>
            <w:r w:rsidR="00A811DC">
              <w:t xml:space="preserve"> </w:t>
            </w:r>
            <w:r w:rsidR="00BA5352">
              <w:t xml:space="preserve">not later than September 1, 2024, </w:t>
            </w:r>
            <w:r w:rsidR="00A811DC">
              <w:t xml:space="preserve">a report on enrollment and success in higher education </w:t>
            </w:r>
            <w:r w:rsidR="005324C0">
              <w:t xml:space="preserve">for students </w:t>
            </w:r>
            <w:r w:rsidR="00A811DC">
              <w:t xml:space="preserve">with </w:t>
            </w:r>
            <w:r>
              <w:t>a disability</w:t>
            </w:r>
            <w:r w:rsidR="00A811DC">
              <w:t>. The bill requires the report to identify</w:t>
            </w:r>
            <w:r w:rsidR="00345130">
              <w:t>, to the extent practicable,</w:t>
            </w:r>
            <w:r w:rsidR="00AA3D2E">
              <w:t xml:space="preserve"> the following</w:t>
            </w:r>
            <w:r w:rsidR="00A811DC">
              <w:t>:</w:t>
            </w:r>
          </w:p>
          <w:p w14:paraId="15AF1597" w14:textId="60A7D20D" w:rsidR="00A811DC" w:rsidRDefault="004B22ED" w:rsidP="00365E5F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number and percentage of students with a disability who enroll in a public</w:t>
            </w:r>
            <w:r w:rsidR="00345130">
              <w:t>,</w:t>
            </w:r>
            <w:r>
              <w:t xml:space="preserve"> priva</w:t>
            </w:r>
            <w:r>
              <w:t>te</w:t>
            </w:r>
            <w:r w:rsidR="00345130">
              <w:t>,</w:t>
            </w:r>
            <w:r>
              <w:t xml:space="preserve"> </w:t>
            </w:r>
            <w:r w:rsidR="00F51E9D">
              <w:t xml:space="preserve">or independent </w:t>
            </w:r>
            <w:r>
              <w:t>institution of higher education;</w:t>
            </w:r>
          </w:p>
          <w:p w14:paraId="2B7077C2" w14:textId="6DDE781D" w:rsidR="00A811DC" w:rsidRDefault="004B22ED" w:rsidP="00365E5F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barriers </w:t>
            </w:r>
            <w:r w:rsidR="00F51E9D" w:rsidRPr="00F51E9D">
              <w:t>to enroll</w:t>
            </w:r>
            <w:r w:rsidR="00F51E9D">
              <w:t xml:space="preserve">ment </w:t>
            </w:r>
            <w:r w:rsidR="00F51E9D" w:rsidRPr="00F51E9D">
              <w:t xml:space="preserve">in higher education </w:t>
            </w:r>
            <w:r>
              <w:t xml:space="preserve">for students with </w:t>
            </w:r>
            <w:r w:rsidR="00F51E9D">
              <w:t>a disability</w:t>
            </w:r>
            <w:r>
              <w:t>;</w:t>
            </w:r>
          </w:p>
          <w:p w14:paraId="1A11D350" w14:textId="5B150669" w:rsidR="00A811DC" w:rsidRDefault="004B22ED" w:rsidP="00365E5F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policies of </w:t>
            </w:r>
            <w:r w:rsidR="00C778C4">
              <w:t>public</w:t>
            </w:r>
            <w:r w:rsidR="00345130">
              <w:t>, private, or independent</w:t>
            </w:r>
            <w:r w:rsidR="00C778C4">
              <w:t xml:space="preserve"> </w:t>
            </w:r>
            <w:r>
              <w:t>institutions of higher education that promote enrollment and success in higher educat</w:t>
            </w:r>
            <w:r>
              <w:t>ion for students with a disability;</w:t>
            </w:r>
          </w:p>
          <w:p w14:paraId="2E0737E3" w14:textId="0AB2E940" w:rsidR="00A811DC" w:rsidRDefault="004B22ED" w:rsidP="00365E5F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whether services and accommodations for students with</w:t>
            </w:r>
            <w:r w:rsidR="00C778C4">
              <w:t xml:space="preserve"> a disability are accessible at </w:t>
            </w:r>
            <w:r>
              <w:t xml:space="preserve"> </w:t>
            </w:r>
            <w:r w:rsidR="00345130">
              <w:t xml:space="preserve"> public, private, or independent </w:t>
            </w:r>
            <w:r>
              <w:t xml:space="preserve">institutions of higher education; </w:t>
            </w:r>
          </w:p>
          <w:p w14:paraId="72770C22" w14:textId="0C34BCA1" w:rsidR="00C778C4" w:rsidRDefault="004B22ED" w:rsidP="00365E5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whether </w:t>
            </w:r>
            <w:r w:rsidR="00EF68FD">
              <w:t xml:space="preserve">public, private, or independent </w:t>
            </w:r>
            <w:r>
              <w:t>institutions of higher edu</w:t>
            </w:r>
            <w:r>
              <w:t xml:space="preserve">cation provide to students with a disability sufficient and accurate information regarding the educational rights </w:t>
            </w:r>
            <w:r w:rsidRPr="00C778C4">
              <w:t>and protections for persons with a disability under state and federal law; and</w:t>
            </w:r>
          </w:p>
          <w:p w14:paraId="45C02FC9" w14:textId="5E351AB8" w:rsidR="00A811DC" w:rsidRDefault="004B22ED" w:rsidP="00365E5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C778C4">
              <w:t>any recommendations for legislative or other action</w:t>
            </w:r>
            <w:r>
              <w:t>.</w:t>
            </w:r>
          </w:p>
          <w:p w14:paraId="303D37AD" w14:textId="77777777" w:rsidR="008423E4" w:rsidRDefault="004B22ED" w:rsidP="00365E5F">
            <w:r>
              <w:t xml:space="preserve">The </w:t>
            </w:r>
            <w:r>
              <w:t>bill requires a</w:t>
            </w:r>
            <w:r w:rsidR="00EF68FD">
              <w:t xml:space="preserve"> public</w:t>
            </w:r>
            <w:r>
              <w:t xml:space="preserve"> </w:t>
            </w:r>
            <w:r w:rsidRPr="00C778C4">
              <w:t xml:space="preserve">institution of higher education </w:t>
            </w:r>
            <w:r>
              <w:t>to provide to the THECB on request</w:t>
            </w:r>
            <w:r w:rsidR="00EF68FD">
              <w:t xml:space="preserve"> any information necessary for the preparation of the report</w:t>
            </w:r>
            <w:r>
              <w:t xml:space="preserve"> and </w:t>
            </w:r>
            <w:r w:rsidR="00EF68FD">
              <w:t xml:space="preserve">authorizes </w:t>
            </w:r>
            <w:r>
              <w:t>the THECB to request</w:t>
            </w:r>
            <w:r w:rsidR="003E01A0">
              <w:t xml:space="preserve"> any such information</w:t>
            </w:r>
            <w:r>
              <w:t xml:space="preserve"> </w:t>
            </w:r>
            <w:r w:rsidRPr="00C778C4">
              <w:t>from a private or independent institution of high</w:t>
            </w:r>
            <w:r w:rsidRPr="00C778C4">
              <w:t>er education</w:t>
            </w:r>
            <w:r>
              <w:t xml:space="preserve">. </w:t>
            </w:r>
            <w:r w:rsidR="00B9194A" w:rsidRPr="00B9194A">
              <w:t>The bill's provisions expire</w:t>
            </w:r>
            <w:r w:rsidR="00B9194A">
              <w:t xml:space="preserve"> September 1, 2025.</w:t>
            </w:r>
            <w:r w:rsidR="004260DF">
              <w:t xml:space="preserve"> </w:t>
            </w:r>
          </w:p>
          <w:p w14:paraId="7AEDC168" w14:textId="37FE422B" w:rsidR="00365E5F" w:rsidRPr="00835628" w:rsidRDefault="00365E5F" w:rsidP="00365E5F">
            <w:pPr>
              <w:rPr>
                <w:b/>
              </w:rPr>
            </w:pPr>
          </w:p>
        </w:tc>
      </w:tr>
      <w:tr w:rsidR="00771C1C" w14:paraId="6E593897" w14:textId="77777777" w:rsidTr="00345119">
        <w:tc>
          <w:tcPr>
            <w:tcW w:w="9576" w:type="dxa"/>
          </w:tcPr>
          <w:p w14:paraId="3D0788DD" w14:textId="77777777" w:rsidR="008423E4" w:rsidRPr="00A8133F" w:rsidRDefault="004B22ED" w:rsidP="00365E5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1A64B1" w14:textId="77777777" w:rsidR="008423E4" w:rsidRDefault="008423E4" w:rsidP="00365E5F"/>
          <w:p w14:paraId="4095D569" w14:textId="225747CE" w:rsidR="008423E4" w:rsidRPr="003624F2" w:rsidRDefault="004B22ED" w:rsidP="00365E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F28E154" w14:textId="77777777" w:rsidR="008423E4" w:rsidRPr="00233FDB" w:rsidRDefault="008423E4" w:rsidP="00365E5F">
            <w:pPr>
              <w:rPr>
                <w:b/>
              </w:rPr>
            </w:pPr>
          </w:p>
        </w:tc>
      </w:tr>
      <w:tr w:rsidR="00771C1C" w14:paraId="1C637413" w14:textId="77777777" w:rsidTr="00345119">
        <w:tc>
          <w:tcPr>
            <w:tcW w:w="9576" w:type="dxa"/>
          </w:tcPr>
          <w:p w14:paraId="4556E962" w14:textId="77777777" w:rsidR="00976B0A" w:rsidRDefault="004B22ED" w:rsidP="00365E5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407614A" w14:textId="77777777" w:rsidR="00E027FD" w:rsidRDefault="00E027FD" w:rsidP="00365E5F">
            <w:pPr>
              <w:jc w:val="both"/>
            </w:pPr>
          </w:p>
          <w:p w14:paraId="613B2651" w14:textId="76BD2E9E" w:rsidR="00E027FD" w:rsidRDefault="004B22ED" w:rsidP="00365E5F">
            <w:pPr>
              <w:jc w:val="both"/>
            </w:pPr>
            <w:r>
              <w:t xml:space="preserve">While C.S.H.B. 1604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2588623D" w14:textId="77777777" w:rsidR="00EF68FD" w:rsidRDefault="00EF68FD" w:rsidP="00365E5F">
            <w:pPr>
              <w:jc w:val="both"/>
            </w:pPr>
          </w:p>
          <w:p w14:paraId="472D6566" w14:textId="618AA87F" w:rsidR="00B03319" w:rsidRDefault="004B22ED" w:rsidP="00365E5F">
            <w:pPr>
              <w:jc w:val="both"/>
            </w:pPr>
            <w:r>
              <w:t>The substitute</w:t>
            </w:r>
            <w:r w:rsidR="00F30C30">
              <w:t xml:space="preserve">, with respect to information required to be </w:t>
            </w:r>
            <w:r w:rsidR="00B61044">
              <w:t>identified</w:t>
            </w:r>
            <w:r w:rsidR="00F30C30">
              <w:t xml:space="preserve"> in the THECB report,</w:t>
            </w:r>
            <w:r>
              <w:t xml:space="preserve"> does the following:</w:t>
            </w:r>
          </w:p>
          <w:p w14:paraId="3291FBD5" w14:textId="01977CC3" w:rsidR="00B61044" w:rsidRDefault="004B22ED" w:rsidP="00365E5F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</w:pPr>
            <w:r>
              <w:t>includes a specification that did not appear in the introduced that the identification of the information is required to the extent practicable;</w:t>
            </w:r>
          </w:p>
          <w:p w14:paraId="55BB8010" w14:textId="093F523A" w:rsidR="00EF68FD" w:rsidRDefault="004B22ED" w:rsidP="00365E5F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provides for the </w:t>
            </w:r>
            <w:r w:rsidR="00ED3743">
              <w:t>identification</w:t>
            </w:r>
            <w:r>
              <w:t xml:space="preserve"> of such information as it relates to </w:t>
            </w:r>
            <w:r w:rsidR="009335CC">
              <w:t>independent institution</w:t>
            </w:r>
            <w:r>
              <w:t>s</w:t>
            </w:r>
            <w:r w:rsidR="009335CC">
              <w:t xml:space="preserve"> of higher education, which did not appear in the introduced</w:t>
            </w:r>
            <w:r w:rsidR="00B03319">
              <w:t>; and</w:t>
            </w:r>
          </w:p>
          <w:p w14:paraId="4C447236" w14:textId="7DCCE210" w:rsidR="00EF68FD" w:rsidRDefault="004B22ED" w:rsidP="00365E5F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</w:pPr>
            <w:r>
              <w:t>with regard to identifying whether students with a disability receive certain information, specifies that the question is whether institutions provide the information to the students an</w:t>
            </w:r>
            <w:r>
              <w:t>d</w:t>
            </w:r>
            <w:r w:rsidR="00A07D38">
              <w:t xml:space="preserve"> </w:t>
            </w:r>
            <w:r>
              <w:t>changes the nature of the information from information regarding</w:t>
            </w:r>
            <w:r w:rsidR="00F87ED4">
              <w:t xml:space="preserve"> the</w:t>
            </w:r>
            <w:r>
              <w:t>ir</w:t>
            </w:r>
            <w:r w:rsidR="00F87ED4">
              <w:t xml:space="preserve"> civil rights </w:t>
            </w:r>
            <w:r>
              <w:t>to</w:t>
            </w:r>
            <w:r w:rsidR="00F87ED4">
              <w:t xml:space="preserve"> information regarding </w:t>
            </w:r>
            <w:r w:rsidR="00BA5352">
              <w:t xml:space="preserve">the </w:t>
            </w:r>
            <w:r w:rsidR="00F87ED4">
              <w:t>educational rights and protections for persons with a disability</w:t>
            </w:r>
            <w:r w:rsidR="00BA5352">
              <w:t xml:space="preserve"> under state and federal law</w:t>
            </w:r>
            <w:r w:rsidR="007F5F60">
              <w:t xml:space="preserve">. </w:t>
            </w:r>
          </w:p>
          <w:p w14:paraId="3E34A776" w14:textId="77777777" w:rsidR="00EF68FD" w:rsidRDefault="00EF68FD" w:rsidP="00365E5F">
            <w:pPr>
              <w:jc w:val="both"/>
            </w:pPr>
          </w:p>
          <w:p w14:paraId="69601469" w14:textId="564C2724" w:rsidR="00EF68FD" w:rsidRDefault="004B22ED" w:rsidP="00365E5F">
            <w:pPr>
              <w:jc w:val="both"/>
            </w:pPr>
            <w:r>
              <w:t>T</w:t>
            </w:r>
            <w:r w:rsidR="007F5F60">
              <w:t xml:space="preserve">he substitute </w:t>
            </w:r>
            <w:r>
              <w:t xml:space="preserve">includes a provision that did not appear in the introduced </w:t>
            </w:r>
            <w:r w:rsidR="00F30C30">
              <w:t>provid</w:t>
            </w:r>
            <w:r>
              <w:t>ing</w:t>
            </w:r>
            <w:r w:rsidR="00F30C30">
              <w:t xml:space="preserve"> for the request of </w:t>
            </w:r>
            <w:r w:rsidR="00504CB2">
              <w:t xml:space="preserve">necessary </w:t>
            </w:r>
            <w:r w:rsidR="00F30C30">
              <w:t xml:space="preserve">information from institutions of higher education by </w:t>
            </w:r>
            <w:r w:rsidR="007F5F60">
              <w:t>the THECB</w:t>
            </w:r>
            <w:r>
              <w:t xml:space="preserve"> and requiring a public institution of higher education to provide that information on request</w:t>
            </w:r>
            <w:r w:rsidR="007F5F60">
              <w:t xml:space="preserve">. </w:t>
            </w:r>
          </w:p>
          <w:p w14:paraId="18413192" w14:textId="77777777" w:rsidR="00EF68FD" w:rsidRDefault="00EF68FD" w:rsidP="00365E5F">
            <w:pPr>
              <w:jc w:val="both"/>
            </w:pPr>
          </w:p>
          <w:p w14:paraId="40BFE290" w14:textId="3A29E794" w:rsidR="00E027FD" w:rsidRPr="00E027FD" w:rsidRDefault="004B22ED" w:rsidP="00365E5F">
            <w:pPr>
              <w:jc w:val="both"/>
            </w:pPr>
            <w:r>
              <w:t xml:space="preserve">The substitute changes the </w:t>
            </w:r>
            <w:r w:rsidR="00EF68FD">
              <w:t xml:space="preserve">bill's </w:t>
            </w:r>
            <w:r>
              <w:t>expiration date from January 1, 2025</w:t>
            </w:r>
            <w:r w:rsidR="00EF68FD">
              <w:t>, as</w:t>
            </w:r>
            <w:r>
              <w:t xml:space="preserve"> in the introduced</w:t>
            </w:r>
            <w:r w:rsidR="00EF68FD">
              <w:t>,</w:t>
            </w:r>
            <w:r>
              <w:t xml:space="preserve"> to September 1, 2025. </w:t>
            </w:r>
          </w:p>
        </w:tc>
      </w:tr>
      <w:tr w:rsidR="00771C1C" w14:paraId="3EBE6605" w14:textId="77777777" w:rsidTr="00345119">
        <w:tc>
          <w:tcPr>
            <w:tcW w:w="9576" w:type="dxa"/>
          </w:tcPr>
          <w:p w14:paraId="01E163CD" w14:textId="77777777" w:rsidR="00976B0A" w:rsidRPr="009C1E9A" w:rsidRDefault="00976B0A" w:rsidP="00365E5F">
            <w:pPr>
              <w:rPr>
                <w:b/>
                <w:u w:val="single"/>
              </w:rPr>
            </w:pPr>
          </w:p>
        </w:tc>
      </w:tr>
      <w:tr w:rsidR="00771C1C" w14:paraId="4A2752F5" w14:textId="77777777" w:rsidTr="00345119">
        <w:tc>
          <w:tcPr>
            <w:tcW w:w="9576" w:type="dxa"/>
          </w:tcPr>
          <w:p w14:paraId="63F1B12F" w14:textId="77777777" w:rsidR="00976B0A" w:rsidRPr="00976B0A" w:rsidRDefault="00976B0A" w:rsidP="00365E5F">
            <w:pPr>
              <w:jc w:val="both"/>
            </w:pPr>
          </w:p>
        </w:tc>
      </w:tr>
    </w:tbl>
    <w:p w14:paraId="6FDCFA54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B7C63ED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3C54" w14:textId="77777777" w:rsidR="00000000" w:rsidRDefault="004B22ED">
      <w:r>
        <w:separator/>
      </w:r>
    </w:p>
  </w:endnote>
  <w:endnote w:type="continuationSeparator" w:id="0">
    <w:p w14:paraId="35D707E7" w14:textId="77777777" w:rsidR="00000000" w:rsidRDefault="004B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52A3" w14:textId="77777777" w:rsidR="004260DF" w:rsidRDefault="00426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71C1C" w14:paraId="5E1D2B19" w14:textId="77777777" w:rsidTr="009C1E9A">
      <w:trPr>
        <w:cantSplit/>
      </w:trPr>
      <w:tc>
        <w:tcPr>
          <w:tcW w:w="0" w:type="pct"/>
        </w:tcPr>
        <w:p w14:paraId="53B0BD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5F95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03A55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EA74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7171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1C1C" w14:paraId="3B466098" w14:textId="77777777" w:rsidTr="009C1E9A">
      <w:trPr>
        <w:cantSplit/>
      </w:trPr>
      <w:tc>
        <w:tcPr>
          <w:tcW w:w="0" w:type="pct"/>
        </w:tcPr>
        <w:p w14:paraId="200B3C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2AE1DE" w14:textId="2927738F" w:rsidR="00EC379B" w:rsidRPr="009C1E9A" w:rsidRDefault="004B22E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21414-D</w:t>
          </w:r>
        </w:p>
      </w:tc>
      <w:tc>
        <w:tcPr>
          <w:tcW w:w="2453" w:type="pct"/>
        </w:tcPr>
        <w:p w14:paraId="0A27FDF5" w14:textId="5F71B223" w:rsidR="00EC379B" w:rsidRDefault="004B22E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65E5F">
            <w:t>23.90.481</w:t>
          </w:r>
          <w:r>
            <w:fldChar w:fldCharType="end"/>
          </w:r>
        </w:p>
      </w:tc>
    </w:tr>
    <w:tr w:rsidR="00771C1C" w14:paraId="59474E80" w14:textId="77777777" w:rsidTr="009C1E9A">
      <w:trPr>
        <w:cantSplit/>
      </w:trPr>
      <w:tc>
        <w:tcPr>
          <w:tcW w:w="0" w:type="pct"/>
        </w:tcPr>
        <w:p w14:paraId="15F470B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954A50" w14:textId="53EAD0B8" w:rsidR="00EC379B" w:rsidRPr="009C1E9A" w:rsidRDefault="004B22E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11683</w:t>
          </w:r>
        </w:p>
      </w:tc>
      <w:tc>
        <w:tcPr>
          <w:tcW w:w="2453" w:type="pct"/>
        </w:tcPr>
        <w:p w14:paraId="4350C87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282C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1C1C" w14:paraId="1DF9236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9B7A4A" w14:textId="77777777" w:rsidR="00EC379B" w:rsidRDefault="004B22E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AF31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CFE6E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23B2" w14:textId="77777777" w:rsidR="004260DF" w:rsidRDefault="0042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56EC" w14:textId="77777777" w:rsidR="00000000" w:rsidRDefault="004B22ED">
      <w:r>
        <w:separator/>
      </w:r>
    </w:p>
  </w:footnote>
  <w:footnote w:type="continuationSeparator" w:id="0">
    <w:p w14:paraId="639C3FDB" w14:textId="77777777" w:rsidR="00000000" w:rsidRDefault="004B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AFC5" w14:textId="77777777" w:rsidR="004260DF" w:rsidRDefault="00426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08F9" w14:textId="77777777" w:rsidR="004260DF" w:rsidRDefault="00426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402B" w14:textId="77777777" w:rsidR="004260DF" w:rsidRDefault="00426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61B"/>
    <w:multiLevelType w:val="hybridMultilevel"/>
    <w:tmpl w:val="8D964EEC"/>
    <w:lvl w:ilvl="0" w:tplc="A9440198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6CFC5956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AA58982A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86279F0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6C8E25BE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C8E8B6E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A322B8F0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611E3434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D3C397A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7DE50F48"/>
    <w:multiLevelType w:val="hybridMultilevel"/>
    <w:tmpl w:val="CC325870"/>
    <w:lvl w:ilvl="0" w:tplc="823A5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03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02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0B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4A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C4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E9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A8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2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544872">
    <w:abstractNumId w:val="1"/>
  </w:num>
  <w:num w:numId="2" w16cid:durableId="124776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0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C7D"/>
    <w:rsid w:val="000330D4"/>
    <w:rsid w:val="0003572D"/>
    <w:rsid w:val="00035DB0"/>
    <w:rsid w:val="00037088"/>
    <w:rsid w:val="000400D5"/>
    <w:rsid w:val="00043B84"/>
    <w:rsid w:val="0004512B"/>
    <w:rsid w:val="000462C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C60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1A2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580"/>
    <w:rsid w:val="0031243B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5130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E5F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1A0"/>
    <w:rsid w:val="003E0616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0DF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2ED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CB2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6C3"/>
    <w:rsid w:val="005269CE"/>
    <w:rsid w:val="005304B2"/>
    <w:rsid w:val="005324C0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74E"/>
    <w:rsid w:val="00573401"/>
    <w:rsid w:val="00576188"/>
    <w:rsid w:val="00576714"/>
    <w:rsid w:val="0057685A"/>
    <w:rsid w:val="005770B8"/>
    <w:rsid w:val="005832EE"/>
    <w:rsid w:val="00583C01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DD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6B2"/>
    <w:rsid w:val="0075287B"/>
    <w:rsid w:val="00755C7B"/>
    <w:rsid w:val="00764786"/>
    <w:rsid w:val="00766E12"/>
    <w:rsid w:val="0077098E"/>
    <w:rsid w:val="00771287"/>
    <w:rsid w:val="0077149E"/>
    <w:rsid w:val="00771C1C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D57"/>
    <w:rsid w:val="007F5441"/>
    <w:rsid w:val="007F5F60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5CC"/>
    <w:rsid w:val="0093417F"/>
    <w:rsid w:val="00934AC2"/>
    <w:rsid w:val="009375BB"/>
    <w:rsid w:val="009418E9"/>
    <w:rsid w:val="00946044"/>
    <w:rsid w:val="0094653B"/>
    <w:rsid w:val="009465AB"/>
    <w:rsid w:val="00946DEE"/>
    <w:rsid w:val="0095210B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B0A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B29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D38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04A"/>
    <w:rsid w:val="00A62638"/>
    <w:rsid w:val="00A6344D"/>
    <w:rsid w:val="00A644B8"/>
    <w:rsid w:val="00A70E35"/>
    <w:rsid w:val="00A720DC"/>
    <w:rsid w:val="00A803CF"/>
    <w:rsid w:val="00A811DC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D2E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D34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319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34B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4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94A"/>
    <w:rsid w:val="00B91AD7"/>
    <w:rsid w:val="00B92D23"/>
    <w:rsid w:val="00B95BC8"/>
    <w:rsid w:val="00B96E87"/>
    <w:rsid w:val="00BA146A"/>
    <w:rsid w:val="00BA32EE"/>
    <w:rsid w:val="00BA5352"/>
    <w:rsid w:val="00BB5B36"/>
    <w:rsid w:val="00BC027B"/>
    <w:rsid w:val="00BC30A6"/>
    <w:rsid w:val="00BC3B71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8C4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96D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049"/>
    <w:rsid w:val="00D30534"/>
    <w:rsid w:val="00D3449B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5DE"/>
    <w:rsid w:val="00D83ABC"/>
    <w:rsid w:val="00D84870"/>
    <w:rsid w:val="00D91B92"/>
    <w:rsid w:val="00D926B3"/>
    <w:rsid w:val="00D92F63"/>
    <w:rsid w:val="00D939BD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7FD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3F4C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743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8FD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C30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E9D"/>
    <w:rsid w:val="00F52402"/>
    <w:rsid w:val="00F5605D"/>
    <w:rsid w:val="00F60C8F"/>
    <w:rsid w:val="00F6514B"/>
    <w:rsid w:val="00F6533E"/>
    <w:rsid w:val="00F6587F"/>
    <w:rsid w:val="00F67981"/>
    <w:rsid w:val="00F70024"/>
    <w:rsid w:val="00F706CA"/>
    <w:rsid w:val="00F70F8D"/>
    <w:rsid w:val="00F71C5A"/>
    <w:rsid w:val="00F72B13"/>
    <w:rsid w:val="00F733A4"/>
    <w:rsid w:val="00F7758F"/>
    <w:rsid w:val="00F82811"/>
    <w:rsid w:val="00F84153"/>
    <w:rsid w:val="00F85661"/>
    <w:rsid w:val="00F87ED4"/>
    <w:rsid w:val="00F96602"/>
    <w:rsid w:val="00F9735A"/>
    <w:rsid w:val="00FA32FC"/>
    <w:rsid w:val="00FA59FD"/>
    <w:rsid w:val="00FA5D8C"/>
    <w:rsid w:val="00FA6403"/>
    <w:rsid w:val="00FB16CD"/>
    <w:rsid w:val="00FB2E34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F7D426-4CAF-483A-B46B-A2CAD815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0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0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0DF"/>
    <w:rPr>
      <w:b/>
      <w:bCs/>
    </w:rPr>
  </w:style>
  <w:style w:type="paragraph" w:styleId="Revision">
    <w:name w:val="Revision"/>
    <w:hidden/>
    <w:uiPriority w:val="99"/>
    <w:semiHidden/>
    <w:rsid w:val="00F72B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3650</Characters>
  <Application>Microsoft Office Word</Application>
  <DocSecurity>4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HB01604 (Committee Report (Substituted))</vt:lpstr>
    </vt:vector>
  </TitlesOfParts>
  <Company>State of Texas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21414</dc:subject>
  <dc:creator>State of Texas</dc:creator>
  <dc:description>HB 1604 by González, Mary-(H)Higher Education (Substitute Document Number: 88R 11683)</dc:description>
  <cp:lastModifiedBy>Stacey Nicchio</cp:lastModifiedBy>
  <cp:revision>2</cp:revision>
  <cp:lastPrinted>2003-11-26T17:21:00Z</cp:lastPrinted>
  <dcterms:created xsi:type="dcterms:W3CDTF">2023-04-04T16:28:00Z</dcterms:created>
  <dcterms:modified xsi:type="dcterms:W3CDTF">2023-04-04T16:28:00Z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23.90.481</vt:lpwstr>
  </property>
</Properties>
</file>