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B411D4" w14:paraId="038DF44C" w14:textId="77777777" w:rsidTr="00345119">
        <w:tc>
          <w:tcPr>
            <w:tcW w:w="9576" w:type="dxa"/>
            <w:noWrap/>
          </w:tcPr>
          <w:p w14:paraId="47C59FBD" w14:textId="77777777" w:rsidR="008423E4" w:rsidRPr="0022177D" w:rsidRDefault="00783F1A" w:rsidP="00E61B8A">
            <w:pPr>
              <w:pStyle w:val="Heading1"/>
            </w:pPr>
            <w:r w:rsidRPr="00631897">
              <w:t>BILL ANALYSIS</w:t>
            </w:r>
          </w:p>
        </w:tc>
      </w:tr>
    </w:tbl>
    <w:p w14:paraId="77E1CAE4" w14:textId="77777777" w:rsidR="008423E4" w:rsidRPr="0022177D" w:rsidRDefault="008423E4" w:rsidP="00E61B8A">
      <w:pPr>
        <w:jc w:val="center"/>
      </w:pPr>
    </w:p>
    <w:p w14:paraId="2C319161" w14:textId="77777777" w:rsidR="008423E4" w:rsidRPr="00B31F0E" w:rsidRDefault="008423E4" w:rsidP="00E61B8A"/>
    <w:p w14:paraId="04A2F628" w14:textId="77777777" w:rsidR="008423E4" w:rsidRPr="00742794" w:rsidRDefault="008423E4" w:rsidP="00E61B8A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B411D4" w14:paraId="347BD269" w14:textId="77777777" w:rsidTr="00345119">
        <w:tc>
          <w:tcPr>
            <w:tcW w:w="9576" w:type="dxa"/>
          </w:tcPr>
          <w:p w14:paraId="7ACA0DAE" w14:textId="2476B0A2" w:rsidR="008423E4" w:rsidRPr="00861995" w:rsidRDefault="00783F1A" w:rsidP="00E61B8A">
            <w:pPr>
              <w:jc w:val="right"/>
            </w:pPr>
            <w:r>
              <w:t>H.B. 1617</w:t>
            </w:r>
          </w:p>
        </w:tc>
      </w:tr>
      <w:tr w:rsidR="00B411D4" w14:paraId="7C0C4539" w14:textId="77777777" w:rsidTr="00345119">
        <w:tc>
          <w:tcPr>
            <w:tcW w:w="9576" w:type="dxa"/>
          </w:tcPr>
          <w:p w14:paraId="0D43C5E9" w14:textId="44AA395F" w:rsidR="008423E4" w:rsidRPr="00861995" w:rsidRDefault="00783F1A" w:rsidP="00E61B8A">
            <w:pPr>
              <w:jc w:val="right"/>
            </w:pPr>
            <w:r>
              <w:t xml:space="preserve">By: </w:t>
            </w:r>
            <w:r w:rsidR="00F0225E">
              <w:t>Ordaz</w:t>
            </w:r>
          </w:p>
        </w:tc>
      </w:tr>
      <w:tr w:rsidR="00B411D4" w14:paraId="1074750A" w14:textId="77777777" w:rsidTr="00345119">
        <w:tc>
          <w:tcPr>
            <w:tcW w:w="9576" w:type="dxa"/>
          </w:tcPr>
          <w:p w14:paraId="7DC883C7" w14:textId="582C268E" w:rsidR="008423E4" w:rsidRPr="00861995" w:rsidRDefault="00783F1A" w:rsidP="00E61B8A">
            <w:pPr>
              <w:jc w:val="right"/>
            </w:pPr>
            <w:r>
              <w:t>Community Safety, Select</w:t>
            </w:r>
          </w:p>
        </w:tc>
      </w:tr>
      <w:tr w:rsidR="00B411D4" w14:paraId="3A3DB79F" w14:textId="77777777" w:rsidTr="00345119">
        <w:tc>
          <w:tcPr>
            <w:tcW w:w="9576" w:type="dxa"/>
          </w:tcPr>
          <w:p w14:paraId="5EBAAAF7" w14:textId="735EAE9F" w:rsidR="008423E4" w:rsidRDefault="00783F1A" w:rsidP="00E61B8A">
            <w:pPr>
              <w:jc w:val="right"/>
            </w:pPr>
            <w:r>
              <w:t>Committee Report (Unamended)</w:t>
            </w:r>
          </w:p>
        </w:tc>
      </w:tr>
    </w:tbl>
    <w:p w14:paraId="6CBA2C32" w14:textId="77777777" w:rsidR="008423E4" w:rsidRDefault="008423E4" w:rsidP="00E61B8A">
      <w:pPr>
        <w:tabs>
          <w:tab w:val="right" w:pos="9360"/>
        </w:tabs>
      </w:pPr>
    </w:p>
    <w:p w14:paraId="3D3E6769" w14:textId="77777777" w:rsidR="008423E4" w:rsidRDefault="008423E4" w:rsidP="00E61B8A"/>
    <w:p w14:paraId="1E11FAB1" w14:textId="77777777" w:rsidR="008423E4" w:rsidRDefault="008423E4" w:rsidP="00E61B8A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B411D4" w14:paraId="5279FA29" w14:textId="77777777" w:rsidTr="00345119">
        <w:tc>
          <w:tcPr>
            <w:tcW w:w="9576" w:type="dxa"/>
          </w:tcPr>
          <w:p w14:paraId="32CB2015" w14:textId="77777777" w:rsidR="008423E4" w:rsidRPr="00A8133F" w:rsidRDefault="00783F1A" w:rsidP="00E61B8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59A9FEB" w14:textId="77777777" w:rsidR="008423E4" w:rsidRDefault="008423E4" w:rsidP="00E61B8A"/>
          <w:p w14:paraId="07F5CF7E" w14:textId="272B4CB5" w:rsidR="008423E4" w:rsidRDefault="00783F1A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F93CB3">
              <w:t>In 2019</w:t>
            </w:r>
            <w:r>
              <w:t>,</w:t>
            </w:r>
            <w:r w:rsidRPr="00F93CB3">
              <w:t xml:space="preserve"> </w:t>
            </w:r>
            <w:r w:rsidR="00ED5977">
              <w:t>the</w:t>
            </w:r>
            <w:r w:rsidRPr="00F93CB3">
              <w:t xml:space="preserve"> Texas Safety Commission published the Texas Safety Action Report. One of </w:t>
            </w:r>
            <w:r>
              <w:t>the commission's</w:t>
            </w:r>
            <w:r w:rsidRPr="00F93CB3">
              <w:t xml:space="preserve"> recommendations was </w:t>
            </w:r>
            <w:r>
              <w:t>for</w:t>
            </w:r>
            <w:r w:rsidRPr="00F93CB3">
              <w:t xml:space="preserve"> </w:t>
            </w:r>
            <w:r>
              <w:t>t</w:t>
            </w:r>
            <w:r w:rsidRPr="00F93CB3">
              <w:t xml:space="preserve">he </w:t>
            </w:r>
            <w:r>
              <w:t>l</w:t>
            </w:r>
            <w:r w:rsidRPr="00F93CB3">
              <w:t xml:space="preserve">egislature </w:t>
            </w:r>
            <w:r>
              <w:t>to</w:t>
            </w:r>
            <w:r w:rsidRPr="00F93CB3">
              <w:t xml:space="preserve"> consider requiring courts to inform convicted criminals, both orally and in writing, that they may no longer </w:t>
            </w:r>
            <w:r>
              <w:t xml:space="preserve">legally </w:t>
            </w:r>
            <w:r w:rsidRPr="00F93CB3">
              <w:t>posse</w:t>
            </w:r>
            <w:r w:rsidRPr="00F93CB3">
              <w:t xml:space="preserve">ss firearms. Currently, </w:t>
            </w:r>
            <w:r>
              <w:t>state</w:t>
            </w:r>
            <w:r w:rsidRPr="00F93CB3">
              <w:t xml:space="preserve"> law </w:t>
            </w:r>
            <w:r>
              <w:t xml:space="preserve">is </w:t>
            </w:r>
            <w:r w:rsidRPr="00F93CB3">
              <w:t xml:space="preserve">inconsistent </w:t>
            </w:r>
            <w:r w:rsidR="00995E08">
              <w:t>in this regard</w:t>
            </w:r>
            <w:r w:rsidRPr="00F93CB3">
              <w:t xml:space="preserve">. This lack of consistency makes it confusing for </w:t>
            </w:r>
            <w:r w:rsidR="00ED5977">
              <w:t xml:space="preserve">the </w:t>
            </w:r>
            <w:r w:rsidRPr="00F93CB3">
              <w:t>judges</w:t>
            </w:r>
            <w:r w:rsidR="00ED5977">
              <w:t xml:space="preserve"> </w:t>
            </w:r>
            <w:r w:rsidRPr="00F93CB3">
              <w:t>who must provide notification</w:t>
            </w:r>
            <w:r w:rsidR="00995E08">
              <w:t xml:space="preserve"> to the defendants in question</w:t>
            </w:r>
            <w:r w:rsidRPr="00F93CB3">
              <w:t xml:space="preserve"> </w:t>
            </w:r>
            <w:r w:rsidR="00ED5977">
              <w:t>as well as for</w:t>
            </w:r>
            <w:r w:rsidRPr="00F93CB3">
              <w:t xml:space="preserve"> </w:t>
            </w:r>
            <w:r w:rsidR="00995E08">
              <w:t xml:space="preserve">the </w:t>
            </w:r>
            <w:r w:rsidRPr="00F93CB3">
              <w:t>defendants</w:t>
            </w:r>
            <w:r w:rsidR="00995E08">
              <w:t xml:space="preserve"> themselves</w:t>
            </w:r>
            <w:r w:rsidRPr="00F93CB3">
              <w:t xml:space="preserve"> who may be unaware their right</w:t>
            </w:r>
            <w:r w:rsidRPr="00F93CB3">
              <w:t xml:space="preserve">s have changed. Courts should tell defendants during each stage of the sentencing process that conviction means they are no longer allowed by law to possess firearms and that </w:t>
            </w:r>
            <w:r w:rsidR="00ED5977">
              <w:t xml:space="preserve">a </w:t>
            </w:r>
            <w:r w:rsidRPr="00F93CB3">
              <w:t>failure to forfeit their firearms could lead to additional charges for unlawful</w:t>
            </w:r>
            <w:r w:rsidRPr="00F93CB3">
              <w:t xml:space="preserve"> possession. </w:t>
            </w:r>
            <w:r w:rsidR="00995E08">
              <w:t>H.B. 1617 seeks to ensure that all defendants</w:t>
            </w:r>
            <w:r w:rsidR="00002388">
              <w:t>, if applicable,</w:t>
            </w:r>
            <w:r w:rsidR="00995E08">
              <w:t xml:space="preserve"> are admonished of the fact that certain convictions render a person ineligible to legally own a firearm or ammunition </w:t>
            </w:r>
            <w:r w:rsidR="009C07DA">
              <w:t>and that making a false statement regarding the possession of a firearm could lead to a perjury charge.</w:t>
            </w:r>
          </w:p>
          <w:p w14:paraId="7C25D56F" w14:textId="77777777" w:rsidR="008423E4" w:rsidRPr="00E26B13" w:rsidRDefault="008423E4" w:rsidP="00E61B8A">
            <w:pPr>
              <w:rPr>
                <w:b/>
              </w:rPr>
            </w:pPr>
          </w:p>
        </w:tc>
      </w:tr>
      <w:tr w:rsidR="00B411D4" w14:paraId="32FD606B" w14:textId="77777777" w:rsidTr="00345119">
        <w:tc>
          <w:tcPr>
            <w:tcW w:w="9576" w:type="dxa"/>
          </w:tcPr>
          <w:p w14:paraId="2C7ED408" w14:textId="77777777" w:rsidR="0017725B" w:rsidRDefault="00783F1A" w:rsidP="00E61B8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8990848" w14:textId="77777777" w:rsidR="0017725B" w:rsidRDefault="0017725B" w:rsidP="00E61B8A">
            <w:pPr>
              <w:rPr>
                <w:b/>
                <w:u w:val="single"/>
              </w:rPr>
            </w:pPr>
          </w:p>
          <w:p w14:paraId="667A31AA" w14:textId="78D02DB5" w:rsidR="005F0858" w:rsidRPr="005F0858" w:rsidRDefault="00783F1A" w:rsidP="00E61B8A">
            <w:pPr>
              <w:jc w:val="both"/>
            </w:pPr>
            <w:r>
              <w:t xml:space="preserve">It is the committee's opinion that this bill does not expressly create a criminal offense, increase the punishment for an existing criminal offense or category of offenses, or change </w:t>
            </w:r>
            <w:r>
              <w:t>the eligibility of a person for community supervision, parole, or mandatory supervision.</w:t>
            </w:r>
          </w:p>
          <w:p w14:paraId="33CBF832" w14:textId="77777777" w:rsidR="0017725B" w:rsidRPr="0017725B" w:rsidRDefault="0017725B" w:rsidP="00E61B8A">
            <w:pPr>
              <w:rPr>
                <w:b/>
                <w:u w:val="single"/>
              </w:rPr>
            </w:pPr>
          </w:p>
        </w:tc>
      </w:tr>
      <w:tr w:rsidR="00B411D4" w14:paraId="3ED50564" w14:textId="77777777" w:rsidTr="00345119">
        <w:tc>
          <w:tcPr>
            <w:tcW w:w="9576" w:type="dxa"/>
          </w:tcPr>
          <w:p w14:paraId="3D68C2EF" w14:textId="77777777" w:rsidR="008423E4" w:rsidRPr="00A8133F" w:rsidRDefault="00783F1A" w:rsidP="00E61B8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0B3166" w14:textId="77777777" w:rsidR="008423E4" w:rsidRDefault="008423E4" w:rsidP="00E61B8A"/>
          <w:p w14:paraId="121234BD" w14:textId="5F7E0449" w:rsidR="005F0858" w:rsidRDefault="00783F1A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</w:t>
            </w:r>
            <w:r>
              <w:t>cy, or institution.</w:t>
            </w:r>
          </w:p>
          <w:p w14:paraId="6F3E29C3" w14:textId="77777777" w:rsidR="008423E4" w:rsidRPr="00E21FDC" w:rsidRDefault="008423E4" w:rsidP="00E61B8A">
            <w:pPr>
              <w:rPr>
                <w:b/>
              </w:rPr>
            </w:pPr>
          </w:p>
        </w:tc>
      </w:tr>
      <w:tr w:rsidR="00B411D4" w14:paraId="430B6BA7" w14:textId="77777777" w:rsidTr="00345119">
        <w:tc>
          <w:tcPr>
            <w:tcW w:w="9576" w:type="dxa"/>
          </w:tcPr>
          <w:p w14:paraId="0D3CA85F" w14:textId="77777777" w:rsidR="008423E4" w:rsidRPr="00A8133F" w:rsidRDefault="00783F1A" w:rsidP="00E61B8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6B13EC39" w14:textId="77777777" w:rsidR="008423E4" w:rsidRDefault="008423E4" w:rsidP="00E61B8A"/>
          <w:p w14:paraId="47514BFA" w14:textId="27922D5C" w:rsidR="007F7F1F" w:rsidRDefault="00783F1A" w:rsidP="00E61B8A">
            <w:pPr>
              <w:pStyle w:val="Header"/>
              <w:jc w:val="both"/>
            </w:pPr>
            <w:r>
              <w:t>H.B. 1617 amends the Code of Criminal Procedure to</w:t>
            </w:r>
            <w:r w:rsidR="00EC660D">
              <w:t xml:space="preserve"> </w:t>
            </w:r>
            <w:r>
              <w:t>require a court</w:t>
            </w:r>
            <w:r w:rsidR="00E256FB">
              <w:t>,</w:t>
            </w:r>
            <w:r>
              <w:t xml:space="preserve"> before accepting a plea of guilty or a plea of nolo contendere</w:t>
            </w:r>
            <w:r w:rsidR="00E256FB">
              <w:t>,</w:t>
            </w:r>
            <w:r>
              <w:t xml:space="preserve"> </w:t>
            </w:r>
            <w:r w:rsidR="00E256FB">
              <w:t xml:space="preserve">to admonish the defendant </w:t>
            </w:r>
            <w:r>
              <w:t xml:space="preserve">of the following </w:t>
            </w:r>
            <w:r w:rsidR="00E256FB">
              <w:t>using a</w:t>
            </w:r>
            <w:r w:rsidR="00A36541">
              <w:t xml:space="preserve"> specific</w:t>
            </w:r>
            <w:r w:rsidR="00E256FB">
              <w:t xml:space="preserve"> statement prescribed by the bill</w:t>
            </w:r>
            <w:r>
              <w:t>:</w:t>
            </w:r>
            <w:r w:rsidR="00E256FB">
              <w:t xml:space="preserve"> </w:t>
            </w:r>
          </w:p>
          <w:p w14:paraId="48F73379" w14:textId="6CF1B60A" w:rsidR="007F7F1F" w:rsidRDefault="00783F1A" w:rsidP="00E61B8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a felony </w:t>
            </w:r>
            <w:r w:rsidR="00E256FB">
              <w:t xml:space="preserve">conviction </w:t>
            </w:r>
            <w:r>
              <w:t xml:space="preserve">may </w:t>
            </w:r>
            <w:r w:rsidR="00E256FB">
              <w:t xml:space="preserve">make it </w:t>
            </w:r>
            <w:r>
              <w:t xml:space="preserve">unlawful for </w:t>
            </w:r>
            <w:r w:rsidR="00E256FB">
              <w:t xml:space="preserve">the defendant </w:t>
            </w:r>
            <w:r>
              <w:t xml:space="preserve">to possess or acquire a firearm, including a handgun or long gun, or ammunition, under state or federal law; </w:t>
            </w:r>
          </w:p>
          <w:p w14:paraId="36F8BE39" w14:textId="4EF25ED9" w:rsidR="007F7F1F" w:rsidRDefault="00783F1A" w:rsidP="00E61B8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defendant should consult </w:t>
            </w:r>
            <w:r w:rsidR="00F1142A">
              <w:t>an attorney</w:t>
            </w:r>
            <w:r>
              <w:t xml:space="preserve"> if they ha</w:t>
            </w:r>
            <w:r>
              <w:t>ve any questions whether those laws make it illegal for them to possess or acquire a firearm; and</w:t>
            </w:r>
            <w:r w:rsidR="00F1142A">
              <w:t xml:space="preserve"> </w:t>
            </w:r>
          </w:p>
          <w:p w14:paraId="765A2AE2" w14:textId="0D80CE58" w:rsidR="009C36CD" w:rsidRDefault="00783F1A" w:rsidP="00E61B8A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mak</w:t>
            </w:r>
            <w:r w:rsidR="007F7F1F">
              <w:t>ing</w:t>
            </w:r>
            <w:r>
              <w:t xml:space="preserve"> a false statement to the court under oath relating to</w:t>
            </w:r>
            <w:r w:rsidR="00A36541">
              <w:t xml:space="preserve"> the defendant's</w:t>
            </w:r>
            <w:r>
              <w:t xml:space="preserve"> possession or acquisition of a firearm or ammunition may subject </w:t>
            </w:r>
            <w:r w:rsidR="007F7F1F">
              <w:t>the</w:t>
            </w:r>
            <w:r w:rsidR="00A36541">
              <w:t>m</w:t>
            </w:r>
            <w:r w:rsidR="007F7F1F">
              <w:t xml:space="preserve"> </w:t>
            </w:r>
            <w:r>
              <w:t>to prosecu</w:t>
            </w:r>
            <w:r>
              <w:t xml:space="preserve">tion for </w:t>
            </w:r>
            <w:r w:rsidR="007F7F1F">
              <w:t>perjury.</w:t>
            </w:r>
          </w:p>
          <w:p w14:paraId="0AC3ED56" w14:textId="62F76DD7" w:rsidR="00F1142A" w:rsidRDefault="00783F1A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This requirement </w:t>
            </w:r>
            <w:r w:rsidRPr="00780AF9">
              <w:t xml:space="preserve">applies only to an offense committed on or after the </w:t>
            </w:r>
            <w:r>
              <w:t xml:space="preserve">bill's </w:t>
            </w:r>
            <w:r w:rsidRPr="00780AF9">
              <w:t>effective date</w:t>
            </w:r>
            <w:r>
              <w:t>.</w:t>
            </w:r>
            <w:r w:rsidR="007A76A3">
              <w:t xml:space="preserve"> The bill provides for the continuation of the law in effect before the bill's effective date for purposes of an offense, or any element thereof, that occurred before that date.</w:t>
            </w:r>
          </w:p>
          <w:p w14:paraId="2A7E4795" w14:textId="77777777" w:rsidR="00780AF9" w:rsidRDefault="00780AF9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5262200" w14:textId="1E288FC8" w:rsidR="003409AF" w:rsidRDefault="00783F1A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1617</w:t>
            </w:r>
            <w:r w:rsidR="00F1142A">
              <w:t xml:space="preserve"> </w:t>
            </w:r>
            <w:r w:rsidR="00EC660D">
              <w:t xml:space="preserve">revises the </w:t>
            </w:r>
            <w:r w:rsidR="00E854F7">
              <w:t xml:space="preserve">following </w:t>
            </w:r>
            <w:r w:rsidR="00EC660D">
              <w:t>prescribed statement</w:t>
            </w:r>
            <w:r w:rsidR="00E854F7">
              <w:t>s</w:t>
            </w:r>
            <w:r w:rsidR="00EC660D">
              <w:t xml:space="preserve"> to align the</w:t>
            </w:r>
            <w:r w:rsidR="00E854F7">
              <w:t>ir</w:t>
            </w:r>
            <w:r w:rsidR="00EC660D">
              <w:t xml:space="preserve"> contents with the contents of th</w:t>
            </w:r>
            <w:r w:rsidR="00E854F7">
              <w:t>e felony conviction</w:t>
            </w:r>
            <w:r w:rsidR="00EC660D">
              <w:t xml:space="preserve"> admonishment</w:t>
            </w:r>
            <w:r w:rsidR="00780AF9">
              <w:t xml:space="preserve">, </w:t>
            </w:r>
            <w:r w:rsidR="006D5F83">
              <w:t>except with respect to a conviction of the applicable offense</w:t>
            </w:r>
            <w:r w:rsidR="00AC5401">
              <w:t>,</w:t>
            </w:r>
            <w:r w:rsidR="006D5F83">
              <w:t xml:space="preserve"> </w:t>
            </w:r>
            <w:r w:rsidR="00780AF9">
              <w:t xml:space="preserve">including </w:t>
            </w:r>
            <w:r w:rsidR="006B30E2">
              <w:t>the admonishment regarding</w:t>
            </w:r>
            <w:r w:rsidR="00780AF9">
              <w:t xml:space="preserve"> </w:t>
            </w:r>
            <w:r w:rsidR="006B30E2">
              <w:t xml:space="preserve">false statements under oath that may be subject to </w:t>
            </w:r>
            <w:r w:rsidR="00780AF9">
              <w:t>perjury</w:t>
            </w:r>
            <w:r w:rsidR="00893C68">
              <w:t xml:space="preserve"> </w:t>
            </w:r>
            <w:r w:rsidR="00780AF9">
              <w:t>prosecution</w:t>
            </w:r>
            <w:r>
              <w:t xml:space="preserve">: </w:t>
            </w:r>
          </w:p>
          <w:p w14:paraId="0A5C73A9" w14:textId="5155CADA" w:rsidR="006D6F5F" w:rsidRDefault="00783F1A" w:rsidP="00E61B8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the statement a judge is </w:t>
            </w:r>
            <w:r>
              <w:t>required to use to admonish a defendant charged with a misdemeanor involving family violence before accepting a plea of guilty or nolo contendere</w:t>
            </w:r>
            <w:r w:rsidR="00126C5C">
              <w:t>;</w:t>
            </w:r>
            <w:r w:rsidR="00EC660D">
              <w:t xml:space="preserve"> and</w:t>
            </w:r>
          </w:p>
          <w:p w14:paraId="4EF50373" w14:textId="5170CF69" w:rsidR="006D6F5F" w:rsidRDefault="00783F1A" w:rsidP="00E61B8A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the statement in</w:t>
            </w:r>
            <w:r w:rsidR="00EC660D">
              <w:t>cluded as part of</w:t>
            </w:r>
            <w:r>
              <w:t xml:space="preserve"> </w:t>
            </w:r>
            <w:r w:rsidR="00EC660D">
              <w:t>the</w:t>
            </w:r>
            <w:r>
              <w:t xml:space="preserve"> citation </w:t>
            </w:r>
            <w:r w:rsidR="00EC660D">
              <w:t>issued by</w:t>
            </w:r>
            <w:r>
              <w:t xml:space="preserve"> a peace officer </w:t>
            </w:r>
            <w:r w:rsidR="00EC660D">
              <w:t xml:space="preserve">to </w:t>
            </w:r>
            <w:r>
              <w:t>a person</w:t>
            </w:r>
            <w:r w:rsidR="00737725">
              <w:t>, including a child,</w:t>
            </w:r>
            <w:r w:rsidR="00EC660D">
              <w:t xml:space="preserve"> the officer is charging </w:t>
            </w:r>
            <w:r>
              <w:t>with a Class C misdemeanor offense</w:t>
            </w:r>
            <w:r w:rsidR="00EC660D">
              <w:t>,</w:t>
            </w:r>
            <w:r>
              <w:t xml:space="preserve"> other than public intoxication</w:t>
            </w:r>
            <w:r w:rsidR="00EC660D">
              <w:t>,</w:t>
            </w:r>
            <w:r>
              <w:t xml:space="preserve"> instead of taking the person before a magistrate</w:t>
            </w:r>
            <w:r w:rsidR="006D5F83">
              <w:t>, but with respect to a misdemeanor offense involving violence where the person has a specified relationship with the victim</w:t>
            </w:r>
            <w:r w:rsidR="00EC660D">
              <w:t>.</w:t>
            </w:r>
          </w:p>
          <w:p w14:paraId="53ABA774" w14:textId="7F578642" w:rsidR="00EC660D" w:rsidRDefault="00783F1A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This change </w:t>
            </w:r>
            <w:r w:rsidRPr="007A76A3">
              <w:t>appl</w:t>
            </w:r>
            <w:r>
              <w:t>ies</w:t>
            </w:r>
            <w:r w:rsidRPr="007A76A3">
              <w:t xml:space="preserve"> to a plea of guilty or a plea of nolo contendere accepted by a court on or after the </w:t>
            </w:r>
            <w:r>
              <w:t xml:space="preserve">bill's </w:t>
            </w:r>
            <w:r w:rsidRPr="007A76A3">
              <w:t>effective date, regardless of whether the offense for which the plea was accepted was committed before, on, or after that date.</w:t>
            </w:r>
          </w:p>
          <w:p w14:paraId="0EEF5173" w14:textId="77777777" w:rsidR="007A76A3" w:rsidRDefault="007A76A3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36644D9" w14:textId="44B2CA71" w:rsidR="00780AF9" w:rsidRDefault="00783F1A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>
              <w:t>1617 revises the requirement for the court to notify a person convicted of a misdemeanor involving family violence that it is</w:t>
            </w:r>
            <w:r w:rsidR="008D2AD0">
              <w:t xml:space="preserve"> </w:t>
            </w:r>
            <w:r w:rsidR="00161F51">
              <w:t>unlawful</w:t>
            </w:r>
            <w:r>
              <w:t xml:space="preserve"> for the person to</w:t>
            </w:r>
            <w:r w:rsidR="00161F51">
              <w:t xml:space="preserve"> possess</w:t>
            </w:r>
            <w:r>
              <w:t xml:space="preserve"> </w:t>
            </w:r>
            <w:r w:rsidR="00161F51">
              <w:t>o</w:t>
            </w:r>
            <w:r>
              <w:t>r</w:t>
            </w:r>
            <w:r w:rsidR="00161F51">
              <w:t xml:space="preserve"> </w:t>
            </w:r>
            <w:r>
              <w:t xml:space="preserve">transfer a </w:t>
            </w:r>
            <w:r w:rsidR="00161F51">
              <w:t>firearm</w:t>
            </w:r>
            <w:r>
              <w:t xml:space="preserve"> or ammunition as follows:</w:t>
            </w:r>
            <w:r w:rsidR="008D2AD0">
              <w:t xml:space="preserve"> </w:t>
            </w:r>
          </w:p>
          <w:p w14:paraId="31963C94" w14:textId="1A0D3D2D" w:rsidR="00780AF9" w:rsidRDefault="00783F1A" w:rsidP="00E61B8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requires the notice instead to include the fac</w:t>
            </w:r>
            <w:r>
              <w:t>t that it is unlawful for the person to possess or acquire a firearm or ammunition;</w:t>
            </w:r>
          </w:p>
          <w:p w14:paraId="28EACF1C" w14:textId="22B6084C" w:rsidR="00780AF9" w:rsidRDefault="00783F1A" w:rsidP="00E61B8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makes the requirement applicable also with respect to a person convicted of a felony; and </w:t>
            </w:r>
          </w:p>
          <w:p w14:paraId="4D41C2CF" w14:textId="0A5712F2" w:rsidR="00780AF9" w:rsidRDefault="00783F1A" w:rsidP="00E61B8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require</w:t>
            </w:r>
            <w:r w:rsidR="00686C77">
              <w:t>s</w:t>
            </w:r>
            <w:r>
              <w:t xml:space="preserve"> the notice to also include the fact that a person </w:t>
            </w:r>
            <w:r w:rsidRPr="00780AF9">
              <w:t>who makes a false statement to the court under oath relating to the person's possession or acquisition of a firearm or ammunition is subject to prosecution for</w:t>
            </w:r>
            <w:r>
              <w:t xml:space="preserve"> perjury.</w:t>
            </w:r>
          </w:p>
          <w:p w14:paraId="2E4C2315" w14:textId="1FCB7A6E" w:rsidR="00F1142A" w:rsidRPr="009C36CD" w:rsidRDefault="00783F1A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This change</w:t>
            </w:r>
            <w:r w:rsidR="00CC1305">
              <w:t xml:space="preserve"> </w:t>
            </w:r>
            <w:r w:rsidRPr="007A76A3">
              <w:t>applies to a judgment of</w:t>
            </w:r>
            <w:r w:rsidRPr="007A76A3">
              <w:t xml:space="preserve"> conviction entered on or after the </w:t>
            </w:r>
            <w:r>
              <w:t xml:space="preserve">bill's </w:t>
            </w:r>
            <w:r w:rsidRPr="007A76A3">
              <w:t>effective date, regardless of whether the offense of which the defendant is convicted was committed before, on, or after that date</w:t>
            </w:r>
            <w:r>
              <w:t>.</w:t>
            </w:r>
            <w:r w:rsidR="003409AF">
              <w:t xml:space="preserve"> </w:t>
            </w:r>
          </w:p>
          <w:p w14:paraId="7C2C1AC1" w14:textId="77777777" w:rsidR="008423E4" w:rsidRPr="00835628" w:rsidRDefault="008423E4" w:rsidP="00E61B8A">
            <w:pPr>
              <w:rPr>
                <w:b/>
              </w:rPr>
            </w:pPr>
          </w:p>
        </w:tc>
      </w:tr>
      <w:tr w:rsidR="00B411D4" w14:paraId="51F1FE94" w14:textId="77777777" w:rsidTr="00345119">
        <w:tc>
          <w:tcPr>
            <w:tcW w:w="9576" w:type="dxa"/>
          </w:tcPr>
          <w:p w14:paraId="282DC428" w14:textId="77777777" w:rsidR="008423E4" w:rsidRPr="00A8133F" w:rsidRDefault="00783F1A" w:rsidP="00E61B8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ECAE7E0" w14:textId="77777777" w:rsidR="008423E4" w:rsidRDefault="008423E4" w:rsidP="00E61B8A"/>
          <w:p w14:paraId="492E892A" w14:textId="7C6D92D7" w:rsidR="008423E4" w:rsidRPr="003624F2" w:rsidRDefault="00783F1A" w:rsidP="00E61B8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8C0D39">
              <w:t>September 1, 2023.</w:t>
            </w:r>
          </w:p>
          <w:p w14:paraId="1950F5CA" w14:textId="77777777" w:rsidR="008423E4" w:rsidRPr="00233FDB" w:rsidRDefault="008423E4" w:rsidP="00E61B8A">
            <w:pPr>
              <w:rPr>
                <w:b/>
              </w:rPr>
            </w:pPr>
          </w:p>
        </w:tc>
      </w:tr>
    </w:tbl>
    <w:p w14:paraId="4BC05672" w14:textId="77777777" w:rsidR="008423E4" w:rsidRPr="00BE0E75" w:rsidRDefault="008423E4" w:rsidP="00E61B8A">
      <w:pPr>
        <w:jc w:val="both"/>
        <w:rPr>
          <w:rFonts w:ascii="Arial" w:hAnsi="Arial"/>
          <w:sz w:val="16"/>
          <w:szCs w:val="16"/>
        </w:rPr>
      </w:pPr>
    </w:p>
    <w:p w14:paraId="2CC135B9" w14:textId="77777777" w:rsidR="004108C3" w:rsidRPr="008423E4" w:rsidRDefault="004108C3" w:rsidP="00E61B8A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B220" w14:textId="77777777" w:rsidR="00000000" w:rsidRDefault="00783F1A">
      <w:r>
        <w:separator/>
      </w:r>
    </w:p>
  </w:endnote>
  <w:endnote w:type="continuationSeparator" w:id="0">
    <w:p w14:paraId="09335CE9" w14:textId="77777777" w:rsidR="00000000" w:rsidRDefault="0078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8F50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B411D4" w14:paraId="774DA1D8" w14:textId="77777777" w:rsidTr="009C1E9A">
      <w:trPr>
        <w:cantSplit/>
      </w:trPr>
      <w:tc>
        <w:tcPr>
          <w:tcW w:w="0" w:type="pct"/>
        </w:tcPr>
        <w:p w14:paraId="57BACAB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33FEA2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AB926CF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C12A8D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32E4318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11D4" w14:paraId="27E8E572" w14:textId="77777777" w:rsidTr="009C1E9A">
      <w:trPr>
        <w:cantSplit/>
      </w:trPr>
      <w:tc>
        <w:tcPr>
          <w:tcW w:w="0" w:type="pct"/>
        </w:tcPr>
        <w:p w14:paraId="7846E17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437D33" w14:textId="72F21B51" w:rsidR="00EC379B" w:rsidRPr="009C1E9A" w:rsidRDefault="00783F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88R </w:t>
          </w:r>
          <w:r>
            <w:rPr>
              <w:rFonts w:ascii="Shruti" w:hAnsi="Shruti"/>
              <w:sz w:val="22"/>
            </w:rPr>
            <w:t>26031-D</w:t>
          </w:r>
        </w:p>
      </w:tc>
      <w:tc>
        <w:tcPr>
          <w:tcW w:w="2453" w:type="pct"/>
        </w:tcPr>
        <w:p w14:paraId="0226DC95" w14:textId="432A7599" w:rsidR="00EC379B" w:rsidRDefault="00783F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7240C">
            <w:t>23.114.1078</w:t>
          </w:r>
          <w:r>
            <w:fldChar w:fldCharType="end"/>
          </w:r>
        </w:p>
      </w:tc>
    </w:tr>
    <w:tr w:rsidR="00B411D4" w14:paraId="524A186F" w14:textId="77777777" w:rsidTr="009C1E9A">
      <w:trPr>
        <w:cantSplit/>
      </w:trPr>
      <w:tc>
        <w:tcPr>
          <w:tcW w:w="0" w:type="pct"/>
        </w:tcPr>
        <w:p w14:paraId="2CB70B6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53E2A3F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3CE7579A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21888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B411D4" w14:paraId="284688A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7F982B78" w14:textId="77777777" w:rsidR="00EC379B" w:rsidRDefault="00783F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BC88FE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4F678A4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9596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3644" w14:textId="77777777" w:rsidR="00000000" w:rsidRDefault="00783F1A">
      <w:r>
        <w:separator/>
      </w:r>
    </w:p>
  </w:footnote>
  <w:footnote w:type="continuationSeparator" w:id="0">
    <w:p w14:paraId="1EC907AF" w14:textId="77777777" w:rsidR="00000000" w:rsidRDefault="00783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D744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172B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6726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3EE8"/>
    <w:multiLevelType w:val="hybridMultilevel"/>
    <w:tmpl w:val="F43682D4"/>
    <w:lvl w:ilvl="0" w:tplc="EA6CB5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2C1D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41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61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DE2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6E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E6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6827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8E8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C051F"/>
    <w:multiLevelType w:val="hybridMultilevel"/>
    <w:tmpl w:val="359045AC"/>
    <w:lvl w:ilvl="0" w:tplc="DD4C6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88A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7278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E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8F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A78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08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6D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65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C3303"/>
    <w:multiLevelType w:val="hybridMultilevel"/>
    <w:tmpl w:val="7E56334C"/>
    <w:lvl w:ilvl="0" w:tplc="998C32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5EA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44D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07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6499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42C7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5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419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00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54983"/>
    <w:multiLevelType w:val="hybridMultilevel"/>
    <w:tmpl w:val="D75EC620"/>
    <w:lvl w:ilvl="0" w:tplc="E280D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86A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0653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7A18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64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C2FF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0C9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EA3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F4B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334229">
    <w:abstractNumId w:val="2"/>
  </w:num>
  <w:num w:numId="2" w16cid:durableId="1085422034">
    <w:abstractNumId w:val="0"/>
  </w:num>
  <w:num w:numId="3" w16cid:durableId="1574513051">
    <w:abstractNumId w:val="1"/>
  </w:num>
  <w:num w:numId="4" w16cid:durableId="670107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2A"/>
    <w:rsid w:val="00000A70"/>
    <w:rsid w:val="00002388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0B17"/>
    <w:rsid w:val="000517AC"/>
    <w:rsid w:val="000532BD"/>
    <w:rsid w:val="000555E0"/>
    <w:rsid w:val="00055C12"/>
    <w:rsid w:val="000608B0"/>
    <w:rsid w:val="0006104C"/>
    <w:rsid w:val="00064BF2"/>
    <w:rsid w:val="000667BA"/>
    <w:rsid w:val="000676A7"/>
    <w:rsid w:val="000736F3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6C5C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1F51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5668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52D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35BC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09AF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2C4A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3563"/>
    <w:rsid w:val="00465798"/>
    <w:rsid w:val="00474927"/>
    <w:rsid w:val="00475913"/>
    <w:rsid w:val="00480080"/>
    <w:rsid w:val="004824A7"/>
    <w:rsid w:val="00483AF0"/>
    <w:rsid w:val="00484167"/>
    <w:rsid w:val="00485DF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541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0CB0"/>
    <w:rsid w:val="005E1999"/>
    <w:rsid w:val="005E232C"/>
    <w:rsid w:val="005E2B83"/>
    <w:rsid w:val="005E4AEB"/>
    <w:rsid w:val="005E738F"/>
    <w:rsid w:val="005E788B"/>
    <w:rsid w:val="005F0858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DC9"/>
    <w:rsid w:val="00686C77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30E2"/>
    <w:rsid w:val="006B54C5"/>
    <w:rsid w:val="006B5E80"/>
    <w:rsid w:val="006B639A"/>
    <w:rsid w:val="006B7A2E"/>
    <w:rsid w:val="006C4709"/>
    <w:rsid w:val="006D3005"/>
    <w:rsid w:val="006D504F"/>
    <w:rsid w:val="006D5F83"/>
    <w:rsid w:val="006D6F5F"/>
    <w:rsid w:val="006E0CAC"/>
    <w:rsid w:val="006E1A45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37725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AF9"/>
    <w:rsid w:val="00780FB6"/>
    <w:rsid w:val="00783F1A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6A3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4756"/>
    <w:rsid w:val="007F5441"/>
    <w:rsid w:val="007F7668"/>
    <w:rsid w:val="007F7F1F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3C68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0D39"/>
    <w:rsid w:val="008C132C"/>
    <w:rsid w:val="008C3FD0"/>
    <w:rsid w:val="008D27A5"/>
    <w:rsid w:val="008D2AAB"/>
    <w:rsid w:val="008D2AD0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95E08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07DA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6834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36541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401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11D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240C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7946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11BE"/>
    <w:rsid w:val="00CB3627"/>
    <w:rsid w:val="00CB4B4B"/>
    <w:rsid w:val="00CB4B73"/>
    <w:rsid w:val="00CB74CB"/>
    <w:rsid w:val="00CB7E04"/>
    <w:rsid w:val="00CC1305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2446D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2F25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56FB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B8A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4F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C660D"/>
    <w:rsid w:val="00ED0665"/>
    <w:rsid w:val="00ED12C0"/>
    <w:rsid w:val="00ED19F0"/>
    <w:rsid w:val="00ED2B50"/>
    <w:rsid w:val="00ED3A32"/>
    <w:rsid w:val="00ED3BDE"/>
    <w:rsid w:val="00ED5977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25E"/>
    <w:rsid w:val="00F02457"/>
    <w:rsid w:val="00F036C3"/>
    <w:rsid w:val="00F0417E"/>
    <w:rsid w:val="00F05397"/>
    <w:rsid w:val="00F0638C"/>
    <w:rsid w:val="00F1142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3CB3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C7E19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9C03E3-5D85-4126-A0B7-B286A1FE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82F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2F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2F2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2F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2F25"/>
    <w:rPr>
      <w:b/>
      <w:bCs/>
    </w:rPr>
  </w:style>
  <w:style w:type="paragraph" w:styleId="Revision">
    <w:name w:val="Revision"/>
    <w:hidden/>
    <w:uiPriority w:val="99"/>
    <w:semiHidden/>
    <w:rsid w:val="00E256FB"/>
    <w:rPr>
      <w:sz w:val="24"/>
      <w:szCs w:val="24"/>
    </w:rPr>
  </w:style>
  <w:style w:type="character" w:styleId="Hyperlink">
    <w:name w:val="Hyperlink"/>
    <w:basedOn w:val="DefaultParagraphFont"/>
    <w:unhideWhenUsed/>
    <w:rsid w:val="009C07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754</Words>
  <Characters>3919</Characters>
  <Application>Microsoft Office Word</Application>
  <DocSecurity>4</DocSecurity>
  <Lines>87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HB01617 (Committee Report (Unamended))</vt:lpstr>
    </vt:vector>
  </TitlesOfParts>
  <Company>State of Texas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26031</dc:subject>
  <dc:creator>State of Texas</dc:creator>
  <dc:description>HB 1617 by Ordaz-(H)Community Safety, Select</dc:description>
  <cp:lastModifiedBy>Stacey Nicchio</cp:lastModifiedBy>
  <cp:revision>2</cp:revision>
  <cp:lastPrinted>2003-11-26T17:21:00Z</cp:lastPrinted>
  <dcterms:created xsi:type="dcterms:W3CDTF">2023-04-24T23:51:00Z</dcterms:created>
  <dcterms:modified xsi:type="dcterms:W3CDTF">2023-04-24T23:51:00Z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23.114.1078</vt:lpwstr>
  </property>
</Properties>
</file>