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826B78" w14:paraId="4296AF1E" w14:textId="77777777" w:rsidTr="00345119">
        <w:tc>
          <w:tcPr>
            <w:tcW w:w="9576" w:type="dxa"/>
            <w:noWrap/>
          </w:tcPr>
          <w:p w14:paraId="08E7E05B" w14:textId="77777777" w:rsidR="008423E4" w:rsidRPr="0022177D" w:rsidRDefault="006352C6" w:rsidP="00345119">
            <w:pPr>
              <w:pStyle w:val="Heading1"/>
            </w:pPr>
            <w:r w:rsidRPr="00631897">
              <w:t>BILL ANALYSIS</w:t>
            </w:r>
          </w:p>
        </w:tc>
      </w:tr>
    </w:tbl>
    <w:p w14:paraId="29C8E43F" w14:textId="77777777" w:rsidR="008423E4" w:rsidRPr="0022177D" w:rsidRDefault="008423E4" w:rsidP="008423E4">
      <w:pPr>
        <w:jc w:val="center"/>
      </w:pPr>
    </w:p>
    <w:p w14:paraId="1AE91044" w14:textId="77777777" w:rsidR="008423E4" w:rsidRPr="00B31F0E" w:rsidRDefault="008423E4" w:rsidP="008423E4"/>
    <w:p w14:paraId="7A21D033" w14:textId="77777777" w:rsidR="008423E4" w:rsidRPr="00742794" w:rsidRDefault="008423E4" w:rsidP="008423E4">
      <w:pPr>
        <w:tabs>
          <w:tab w:val="right" w:pos="9360"/>
        </w:tabs>
      </w:pPr>
    </w:p>
    <w:tbl>
      <w:tblPr>
        <w:tblW w:w="0" w:type="auto"/>
        <w:tblLayout w:type="fixed"/>
        <w:tblLook w:val="01E0" w:firstRow="1" w:lastRow="1" w:firstColumn="1" w:lastColumn="1" w:noHBand="0" w:noVBand="0"/>
      </w:tblPr>
      <w:tblGrid>
        <w:gridCol w:w="9576"/>
      </w:tblGrid>
      <w:tr w:rsidR="00826B78" w14:paraId="0B81AE1A" w14:textId="77777777" w:rsidTr="00345119">
        <w:tc>
          <w:tcPr>
            <w:tcW w:w="9576" w:type="dxa"/>
          </w:tcPr>
          <w:p w14:paraId="7E3D2A03" w14:textId="0AC1559C" w:rsidR="008423E4" w:rsidRPr="00861995" w:rsidRDefault="006352C6" w:rsidP="00345119">
            <w:pPr>
              <w:jc w:val="right"/>
            </w:pPr>
            <w:r>
              <w:t>H.B. 1620</w:t>
            </w:r>
          </w:p>
        </w:tc>
      </w:tr>
      <w:tr w:rsidR="00826B78" w14:paraId="01146E22" w14:textId="77777777" w:rsidTr="00345119">
        <w:tc>
          <w:tcPr>
            <w:tcW w:w="9576" w:type="dxa"/>
          </w:tcPr>
          <w:p w14:paraId="0900DC69" w14:textId="6567301D" w:rsidR="008423E4" w:rsidRPr="00861995" w:rsidRDefault="006352C6" w:rsidP="00345119">
            <w:pPr>
              <w:jc w:val="right"/>
            </w:pPr>
            <w:r>
              <w:t xml:space="preserve">By: </w:t>
            </w:r>
            <w:r w:rsidR="00E116F8">
              <w:t>Holland</w:t>
            </w:r>
          </w:p>
        </w:tc>
      </w:tr>
      <w:tr w:rsidR="00826B78" w14:paraId="13060AB6" w14:textId="77777777" w:rsidTr="00345119">
        <w:tc>
          <w:tcPr>
            <w:tcW w:w="9576" w:type="dxa"/>
          </w:tcPr>
          <w:p w14:paraId="07D1B47E" w14:textId="4B0C961A" w:rsidR="008423E4" w:rsidRPr="00861995" w:rsidRDefault="006352C6" w:rsidP="00345119">
            <w:pPr>
              <w:jc w:val="right"/>
            </w:pPr>
            <w:r>
              <w:t>State Affairs</w:t>
            </w:r>
          </w:p>
        </w:tc>
      </w:tr>
      <w:tr w:rsidR="00826B78" w14:paraId="45191CCC" w14:textId="77777777" w:rsidTr="00345119">
        <w:tc>
          <w:tcPr>
            <w:tcW w:w="9576" w:type="dxa"/>
          </w:tcPr>
          <w:p w14:paraId="69D5AB4A" w14:textId="1964F3C4" w:rsidR="008423E4" w:rsidRDefault="006352C6" w:rsidP="00345119">
            <w:pPr>
              <w:jc w:val="right"/>
            </w:pPr>
            <w:r>
              <w:t>Committee Report (Unamended)</w:t>
            </w:r>
          </w:p>
        </w:tc>
      </w:tr>
    </w:tbl>
    <w:p w14:paraId="6F729745" w14:textId="77777777" w:rsidR="008423E4" w:rsidRDefault="008423E4" w:rsidP="008423E4">
      <w:pPr>
        <w:tabs>
          <w:tab w:val="right" w:pos="9360"/>
        </w:tabs>
      </w:pPr>
    </w:p>
    <w:p w14:paraId="1A22381E" w14:textId="77777777" w:rsidR="008423E4" w:rsidRDefault="008423E4" w:rsidP="008423E4"/>
    <w:p w14:paraId="2DCF88BA" w14:textId="77777777" w:rsidR="008423E4" w:rsidRDefault="008423E4" w:rsidP="008423E4"/>
    <w:tbl>
      <w:tblPr>
        <w:tblW w:w="0" w:type="auto"/>
        <w:tblCellMar>
          <w:left w:w="115" w:type="dxa"/>
          <w:right w:w="115" w:type="dxa"/>
        </w:tblCellMar>
        <w:tblLook w:val="01E0" w:firstRow="1" w:lastRow="1" w:firstColumn="1" w:lastColumn="1" w:noHBand="0" w:noVBand="0"/>
      </w:tblPr>
      <w:tblGrid>
        <w:gridCol w:w="9360"/>
      </w:tblGrid>
      <w:tr w:rsidR="00826B78" w14:paraId="6493CFF0" w14:textId="77777777" w:rsidTr="00345119">
        <w:tc>
          <w:tcPr>
            <w:tcW w:w="9576" w:type="dxa"/>
          </w:tcPr>
          <w:p w14:paraId="0DBD1965" w14:textId="77777777" w:rsidR="008423E4" w:rsidRPr="00A8133F" w:rsidRDefault="006352C6" w:rsidP="00346B12">
            <w:pPr>
              <w:rPr>
                <w:b/>
              </w:rPr>
            </w:pPr>
            <w:r w:rsidRPr="009C1E9A">
              <w:rPr>
                <w:b/>
                <w:u w:val="single"/>
              </w:rPr>
              <w:t>BACKGROUND AND PURPOSE</w:t>
            </w:r>
            <w:r>
              <w:rPr>
                <w:b/>
              </w:rPr>
              <w:t xml:space="preserve"> </w:t>
            </w:r>
          </w:p>
          <w:p w14:paraId="2A83F8A8" w14:textId="77777777" w:rsidR="008423E4" w:rsidRDefault="008423E4" w:rsidP="00346B12"/>
          <w:p w14:paraId="23E70B04" w14:textId="37686587" w:rsidR="008423E4" w:rsidRDefault="006352C6" w:rsidP="00346B12">
            <w:pPr>
              <w:pStyle w:val="Header"/>
              <w:jc w:val="both"/>
            </w:pPr>
            <w:r>
              <w:t>H.B. 1620, the sunset safety net bill,</w:t>
            </w:r>
            <w:r w:rsidRPr="00574FAB">
              <w:t xml:space="preserve"> </w:t>
            </w:r>
            <w:r>
              <w:t>continues the</w:t>
            </w:r>
            <w:r w:rsidRPr="00574FAB">
              <w:t xml:space="preserve"> 11 agencies that underwent review </w:t>
            </w:r>
            <w:r>
              <w:t xml:space="preserve">by the Sunset Advisory Commission during the most </w:t>
            </w:r>
            <w:r>
              <w:t>recent review cycle until</w:t>
            </w:r>
            <w:r w:rsidRPr="00574FAB">
              <w:t xml:space="preserve"> 2025. If any of </w:t>
            </w:r>
            <w:r w:rsidR="008E62B7">
              <w:t xml:space="preserve">one </w:t>
            </w:r>
            <w:r w:rsidRPr="00574FAB">
              <w:t>these agenc</w:t>
            </w:r>
            <w:r w:rsidR="008E62B7">
              <w:t>y's</w:t>
            </w:r>
            <w:r w:rsidRPr="00574FAB">
              <w:t xml:space="preserve"> separate </w:t>
            </w:r>
            <w:r>
              <w:t>s</w:t>
            </w:r>
            <w:r w:rsidRPr="00574FAB">
              <w:t xml:space="preserve">unset bills do not pass, this bill ensures the </w:t>
            </w:r>
            <w:r>
              <w:t>agency</w:t>
            </w:r>
            <w:r w:rsidRPr="00574FAB">
              <w:t xml:space="preserve"> will not be abolished. Instead, the </w:t>
            </w:r>
            <w:r>
              <w:t>agency</w:t>
            </w:r>
            <w:r w:rsidRPr="00574FAB">
              <w:t xml:space="preserve"> would be continued for two years and subject to a full </w:t>
            </w:r>
            <w:r>
              <w:t>s</w:t>
            </w:r>
            <w:r w:rsidRPr="00574FAB">
              <w:t>unset review again during the 20</w:t>
            </w:r>
            <w:r w:rsidRPr="00574FAB">
              <w:t xml:space="preserve">24-2025 </w:t>
            </w:r>
            <w:r>
              <w:t>review cycle</w:t>
            </w:r>
            <w:r w:rsidRPr="00574FAB">
              <w:t xml:space="preserve">. The bill specifies if other legislation passes this session that </w:t>
            </w:r>
            <w:r>
              <w:t>continues</w:t>
            </w:r>
            <w:r w:rsidRPr="00574FAB">
              <w:t xml:space="preserve"> any of these agencies, the other legislation controls. </w:t>
            </w:r>
          </w:p>
          <w:p w14:paraId="719E64F4" w14:textId="77777777" w:rsidR="008423E4" w:rsidRPr="00E26B13" w:rsidRDefault="008423E4" w:rsidP="00346B12">
            <w:pPr>
              <w:rPr>
                <w:b/>
              </w:rPr>
            </w:pPr>
          </w:p>
        </w:tc>
      </w:tr>
      <w:tr w:rsidR="00826B78" w14:paraId="11B28614" w14:textId="77777777" w:rsidTr="00345119">
        <w:tc>
          <w:tcPr>
            <w:tcW w:w="9576" w:type="dxa"/>
          </w:tcPr>
          <w:p w14:paraId="159D083A" w14:textId="77777777" w:rsidR="0017725B" w:rsidRDefault="006352C6" w:rsidP="00346B12">
            <w:pPr>
              <w:rPr>
                <w:b/>
                <w:u w:val="single"/>
              </w:rPr>
            </w:pPr>
            <w:r>
              <w:rPr>
                <w:b/>
                <w:u w:val="single"/>
              </w:rPr>
              <w:t>CRIMINAL JUSTICE IMPACT</w:t>
            </w:r>
          </w:p>
          <w:p w14:paraId="44514AF9" w14:textId="77777777" w:rsidR="0017725B" w:rsidRDefault="0017725B" w:rsidP="00346B12">
            <w:pPr>
              <w:rPr>
                <w:b/>
                <w:u w:val="single"/>
              </w:rPr>
            </w:pPr>
          </w:p>
          <w:p w14:paraId="180B4EE3" w14:textId="04DE1CDB" w:rsidR="00381153" w:rsidRPr="00381153" w:rsidRDefault="006352C6" w:rsidP="00346B12">
            <w:pPr>
              <w:jc w:val="both"/>
            </w:pPr>
            <w:r>
              <w:t>It is the committee's opinion that this bill does not expressly create a cri</w:t>
            </w:r>
            <w:r>
              <w:t>minal offense, increase the punishment for an existing criminal offense or category of offenses, or change the eligibility of a person for community supervision, parole, or mandatory supervision.</w:t>
            </w:r>
          </w:p>
          <w:p w14:paraId="4BDA5317" w14:textId="77777777" w:rsidR="0017725B" w:rsidRPr="0017725B" w:rsidRDefault="0017725B" w:rsidP="00346B12">
            <w:pPr>
              <w:rPr>
                <w:b/>
                <w:u w:val="single"/>
              </w:rPr>
            </w:pPr>
          </w:p>
        </w:tc>
      </w:tr>
      <w:tr w:rsidR="00826B78" w14:paraId="0ECF2EB8" w14:textId="77777777" w:rsidTr="00345119">
        <w:tc>
          <w:tcPr>
            <w:tcW w:w="9576" w:type="dxa"/>
          </w:tcPr>
          <w:p w14:paraId="08CE7640" w14:textId="77777777" w:rsidR="008423E4" w:rsidRPr="00A8133F" w:rsidRDefault="006352C6" w:rsidP="00346B12">
            <w:pPr>
              <w:rPr>
                <w:b/>
              </w:rPr>
            </w:pPr>
            <w:r w:rsidRPr="009C1E9A">
              <w:rPr>
                <w:b/>
                <w:u w:val="single"/>
              </w:rPr>
              <w:t>RULEMAKING AUTHORITY</w:t>
            </w:r>
            <w:r>
              <w:rPr>
                <w:b/>
              </w:rPr>
              <w:t xml:space="preserve"> </w:t>
            </w:r>
          </w:p>
          <w:p w14:paraId="739B2593" w14:textId="77777777" w:rsidR="008423E4" w:rsidRDefault="008423E4" w:rsidP="00346B12"/>
          <w:p w14:paraId="0B8BEAC9" w14:textId="11BAE9DB" w:rsidR="00381153" w:rsidRDefault="006352C6" w:rsidP="00346B12">
            <w:pPr>
              <w:pStyle w:val="Header"/>
              <w:tabs>
                <w:tab w:val="clear" w:pos="4320"/>
                <w:tab w:val="clear" w:pos="8640"/>
              </w:tabs>
              <w:jc w:val="both"/>
            </w:pPr>
            <w:r>
              <w:t xml:space="preserve">It is the committee's </w:t>
            </w:r>
            <w:r>
              <w:t>opinion that this bill does not expressly grant any additional rulemaking authority to a state officer, department, agency, or institution.</w:t>
            </w:r>
          </w:p>
          <w:p w14:paraId="14F17982" w14:textId="77777777" w:rsidR="008423E4" w:rsidRPr="00E21FDC" w:rsidRDefault="008423E4" w:rsidP="00346B12">
            <w:pPr>
              <w:rPr>
                <w:b/>
              </w:rPr>
            </w:pPr>
          </w:p>
        </w:tc>
      </w:tr>
      <w:tr w:rsidR="00826B78" w14:paraId="3C689DE5" w14:textId="77777777" w:rsidTr="00345119">
        <w:tc>
          <w:tcPr>
            <w:tcW w:w="9576" w:type="dxa"/>
          </w:tcPr>
          <w:p w14:paraId="3D400F0D" w14:textId="77777777" w:rsidR="008423E4" w:rsidRPr="00A8133F" w:rsidRDefault="006352C6" w:rsidP="00346B12">
            <w:pPr>
              <w:rPr>
                <w:b/>
              </w:rPr>
            </w:pPr>
            <w:r w:rsidRPr="009C1E9A">
              <w:rPr>
                <w:b/>
                <w:u w:val="single"/>
              </w:rPr>
              <w:t>ANALYSIS</w:t>
            </w:r>
            <w:r>
              <w:rPr>
                <w:b/>
              </w:rPr>
              <w:t xml:space="preserve"> </w:t>
            </w:r>
          </w:p>
          <w:p w14:paraId="5D8E4721" w14:textId="77777777" w:rsidR="008423E4" w:rsidRDefault="008423E4" w:rsidP="00346B12"/>
          <w:p w14:paraId="364B9BEC" w14:textId="2E6CB41E" w:rsidR="009C36CD" w:rsidRDefault="006352C6" w:rsidP="00346B12">
            <w:pPr>
              <w:pStyle w:val="Header"/>
              <w:jc w:val="both"/>
            </w:pPr>
            <w:r>
              <w:t>H.B. 16</w:t>
            </w:r>
            <w:r w:rsidR="00A37E83">
              <w:t>2</w:t>
            </w:r>
            <w:r>
              <w:t xml:space="preserve">0 amends the Agriculture Code, Government Code, Health and Safety Code, Human </w:t>
            </w:r>
            <w:r>
              <w:t>Resources</w:t>
            </w:r>
            <w:r w:rsidR="00966BE8">
              <w:t xml:space="preserve"> Code</w:t>
            </w:r>
            <w:r>
              <w:t>, Occupations Code, Utilities Code, and Water Code to continue the following state governmental entities and related state law, as applicable, until 2025 and to provide for the next review of those entities under the Texas Sunset Act during t</w:t>
            </w:r>
            <w:r>
              <w:t>he 2024-2025 review cycle:</w:t>
            </w:r>
          </w:p>
          <w:p w14:paraId="1D9A6411" w14:textId="3D4E0EEB" w:rsidR="00381153" w:rsidRDefault="006352C6" w:rsidP="00272C72">
            <w:pPr>
              <w:pStyle w:val="Header"/>
              <w:numPr>
                <w:ilvl w:val="0"/>
                <w:numId w:val="1"/>
              </w:numPr>
              <w:jc w:val="both"/>
            </w:pPr>
            <w:r>
              <w:t>the Anatomical Board of the State of Texas;</w:t>
            </w:r>
          </w:p>
          <w:p w14:paraId="769F25DC" w14:textId="7FBA7B9C" w:rsidR="00381153" w:rsidRDefault="006352C6" w:rsidP="00272C72">
            <w:pPr>
              <w:pStyle w:val="Header"/>
              <w:numPr>
                <w:ilvl w:val="0"/>
                <w:numId w:val="1"/>
              </w:numPr>
              <w:jc w:val="both"/>
            </w:pPr>
            <w:r>
              <w:t>the Texas Economic Development and Tourism Office;</w:t>
            </w:r>
          </w:p>
          <w:p w14:paraId="30250C6E" w14:textId="65D7F638" w:rsidR="00381153" w:rsidRDefault="006352C6" w:rsidP="00272C72">
            <w:pPr>
              <w:pStyle w:val="Header"/>
              <w:numPr>
                <w:ilvl w:val="0"/>
                <w:numId w:val="1"/>
              </w:numPr>
              <w:jc w:val="both"/>
            </w:pPr>
            <w:r>
              <w:t>the Texas Commission on Environmental Quality;</w:t>
            </w:r>
          </w:p>
          <w:p w14:paraId="290DB450" w14:textId="7B8C24AA" w:rsidR="00381153" w:rsidRDefault="006352C6" w:rsidP="00272C72">
            <w:pPr>
              <w:pStyle w:val="Header"/>
              <w:numPr>
                <w:ilvl w:val="0"/>
                <w:numId w:val="1"/>
              </w:numPr>
              <w:jc w:val="both"/>
            </w:pPr>
            <w:r>
              <w:t>the Texas Juvenile Justice Board;</w:t>
            </w:r>
          </w:p>
          <w:p w14:paraId="4A678B56" w14:textId="5FF97E85" w:rsidR="00381153" w:rsidRDefault="006352C6" w:rsidP="00272C72">
            <w:pPr>
              <w:pStyle w:val="Header"/>
              <w:numPr>
                <w:ilvl w:val="0"/>
                <w:numId w:val="1"/>
              </w:numPr>
              <w:jc w:val="both"/>
            </w:pPr>
            <w:r>
              <w:t>the Texas Juvenile Justice Department;</w:t>
            </w:r>
          </w:p>
          <w:p w14:paraId="0177A8C2" w14:textId="1769CDC3" w:rsidR="00381153" w:rsidRDefault="006352C6" w:rsidP="00272C72">
            <w:pPr>
              <w:pStyle w:val="Header"/>
              <w:numPr>
                <w:ilvl w:val="0"/>
                <w:numId w:val="1"/>
              </w:numPr>
              <w:jc w:val="both"/>
            </w:pPr>
            <w:r>
              <w:t>the Texas Comm</w:t>
            </w:r>
            <w:r>
              <w:t>ission on Law Enforcement;</w:t>
            </w:r>
          </w:p>
          <w:p w14:paraId="5107725A" w14:textId="025056E2" w:rsidR="00381153" w:rsidRDefault="006352C6" w:rsidP="00272C72">
            <w:pPr>
              <w:pStyle w:val="Header"/>
              <w:numPr>
                <w:ilvl w:val="0"/>
                <w:numId w:val="1"/>
              </w:numPr>
              <w:jc w:val="both"/>
            </w:pPr>
            <w:r>
              <w:t>the Public Utility Commission of Texas;</w:t>
            </w:r>
          </w:p>
          <w:p w14:paraId="5F21C802" w14:textId="10C54035" w:rsidR="00381153" w:rsidRDefault="006352C6" w:rsidP="00272C72">
            <w:pPr>
              <w:pStyle w:val="Header"/>
              <w:numPr>
                <w:ilvl w:val="0"/>
                <w:numId w:val="1"/>
              </w:numPr>
              <w:jc w:val="both"/>
            </w:pPr>
            <w:r>
              <w:t>the Office of Public Utility Counsel;</w:t>
            </w:r>
          </w:p>
          <w:p w14:paraId="7A3CDD29" w14:textId="4817A588" w:rsidR="00381153" w:rsidRDefault="006352C6" w:rsidP="00272C72">
            <w:pPr>
              <w:pStyle w:val="Header"/>
              <w:numPr>
                <w:ilvl w:val="0"/>
                <w:numId w:val="1"/>
              </w:numPr>
              <w:jc w:val="both"/>
            </w:pPr>
            <w:r>
              <w:t>the State Soil and Water Conservation Board;</w:t>
            </w:r>
          </w:p>
          <w:p w14:paraId="4E36267A" w14:textId="4C578CD9" w:rsidR="00381153" w:rsidRDefault="006352C6" w:rsidP="00272C72">
            <w:pPr>
              <w:pStyle w:val="Header"/>
              <w:numPr>
                <w:ilvl w:val="0"/>
                <w:numId w:val="1"/>
              </w:numPr>
              <w:jc w:val="both"/>
            </w:pPr>
            <w:r>
              <w:t>the Office of State-Federal Relations; and</w:t>
            </w:r>
          </w:p>
          <w:p w14:paraId="70B7BC96" w14:textId="39ABB97C" w:rsidR="00A37E83" w:rsidRDefault="006352C6" w:rsidP="00272C72">
            <w:pPr>
              <w:pStyle w:val="Header"/>
              <w:numPr>
                <w:ilvl w:val="0"/>
                <w:numId w:val="1"/>
              </w:numPr>
              <w:jc w:val="both"/>
            </w:pPr>
            <w:r>
              <w:t>the Texas Water Development Board.</w:t>
            </w:r>
          </w:p>
          <w:p w14:paraId="0BF7A563" w14:textId="36908A8D" w:rsidR="00A37E83" w:rsidRDefault="00A37E83" w:rsidP="00346B12">
            <w:pPr>
              <w:pStyle w:val="Header"/>
              <w:spacing w:before="120" w:after="120"/>
              <w:jc w:val="both"/>
            </w:pPr>
          </w:p>
          <w:p w14:paraId="622016EA" w14:textId="61AE38CF" w:rsidR="00A37E83" w:rsidRDefault="006352C6" w:rsidP="00346B12">
            <w:pPr>
              <w:pStyle w:val="Header"/>
              <w:spacing w:before="120" w:after="120"/>
              <w:jc w:val="both"/>
            </w:pPr>
            <w:r>
              <w:t>H.B. 1620 amends Section 1-</w:t>
            </w:r>
            <w:r>
              <w:t>a(a), Chapter 276, Acts of the 45th Legislature, Regular Session, 1937, to</w:t>
            </w:r>
            <w:r w:rsidR="002217B8">
              <w:t xml:space="preserve"> continue</w:t>
            </w:r>
            <w:r>
              <w:t xml:space="preserve"> the San Antonio River Authority </w:t>
            </w:r>
            <w:r w:rsidR="002217B8">
              <w:t xml:space="preserve">until 2025 and provide for its next review </w:t>
            </w:r>
            <w:r>
              <w:t>under the Texas Sunset Act during the 2024-2025 review cycle.</w:t>
            </w:r>
          </w:p>
          <w:p w14:paraId="66268677" w14:textId="6F016A2E" w:rsidR="00A37E83" w:rsidRDefault="00A37E83" w:rsidP="00346B12">
            <w:pPr>
              <w:pStyle w:val="Header"/>
              <w:spacing w:before="120" w:after="120"/>
              <w:jc w:val="both"/>
            </w:pPr>
          </w:p>
          <w:p w14:paraId="24535695" w14:textId="6A560081" w:rsidR="00A37E83" w:rsidRPr="009C36CD" w:rsidRDefault="006352C6" w:rsidP="00346B12">
            <w:pPr>
              <w:pStyle w:val="Header"/>
              <w:spacing w:before="120" w:after="120"/>
              <w:jc w:val="both"/>
            </w:pPr>
            <w:r>
              <w:t xml:space="preserve">H.B. 1620 </w:t>
            </w:r>
            <w:r w:rsidRPr="00A37E83">
              <w:t>establishes that if a co</w:t>
            </w:r>
            <w:r w:rsidRPr="00A37E83">
              <w:t xml:space="preserve">nflict exists between </w:t>
            </w:r>
            <w:r w:rsidR="002217B8">
              <w:t>it provisions</w:t>
            </w:r>
            <w:r w:rsidRPr="00A37E83">
              <w:t xml:space="preserve"> and another </w:t>
            </w:r>
            <w:r w:rsidR="002217B8">
              <w:t>act of</w:t>
            </w:r>
            <w:r w:rsidRPr="00A37E83">
              <w:t xml:space="preserve"> the 8</w:t>
            </w:r>
            <w:r>
              <w:t>8</w:t>
            </w:r>
            <w:r w:rsidRPr="00A37E83">
              <w:t>th Legislature, Regular Session, 202</w:t>
            </w:r>
            <w:r w:rsidR="002217B8">
              <w:t>3</w:t>
            </w:r>
            <w:r w:rsidRPr="00A37E83">
              <w:t xml:space="preserve">, that extends the sunset date of a governmental entity, the provisions of the other </w:t>
            </w:r>
            <w:r w:rsidR="002217B8">
              <w:t>act</w:t>
            </w:r>
            <w:r w:rsidR="002217B8" w:rsidRPr="00A37E83">
              <w:t xml:space="preserve"> </w:t>
            </w:r>
            <w:r w:rsidRPr="00A37E83">
              <w:t>control without regard to the relative dates of enactment</w:t>
            </w:r>
            <w:r>
              <w:t>.</w:t>
            </w:r>
          </w:p>
          <w:p w14:paraId="0DA98BE6" w14:textId="77777777" w:rsidR="008423E4" w:rsidRPr="00835628" w:rsidRDefault="008423E4" w:rsidP="00346B12">
            <w:pPr>
              <w:rPr>
                <w:b/>
              </w:rPr>
            </w:pPr>
          </w:p>
        </w:tc>
      </w:tr>
      <w:tr w:rsidR="00826B78" w14:paraId="6FD8E791" w14:textId="77777777" w:rsidTr="00345119">
        <w:tc>
          <w:tcPr>
            <w:tcW w:w="9576" w:type="dxa"/>
          </w:tcPr>
          <w:p w14:paraId="147E1B88" w14:textId="77777777" w:rsidR="008423E4" w:rsidRPr="00A8133F" w:rsidRDefault="006352C6" w:rsidP="00346B12">
            <w:pPr>
              <w:rPr>
                <w:b/>
              </w:rPr>
            </w:pPr>
            <w:r w:rsidRPr="009C1E9A">
              <w:rPr>
                <w:b/>
                <w:u w:val="single"/>
              </w:rPr>
              <w:t>EFFECTIVE DATE</w:t>
            </w:r>
            <w:r>
              <w:rPr>
                <w:b/>
              </w:rPr>
              <w:t xml:space="preserve"> </w:t>
            </w:r>
          </w:p>
          <w:p w14:paraId="44F2F2DE" w14:textId="77777777" w:rsidR="008423E4" w:rsidRDefault="008423E4" w:rsidP="00346B12"/>
          <w:p w14:paraId="375C0CE9" w14:textId="5805AE7C" w:rsidR="008423E4" w:rsidRPr="003624F2" w:rsidRDefault="006352C6" w:rsidP="00346B12">
            <w:pPr>
              <w:pStyle w:val="Header"/>
              <w:tabs>
                <w:tab w:val="clear" w:pos="4320"/>
                <w:tab w:val="clear" w:pos="8640"/>
              </w:tabs>
              <w:jc w:val="both"/>
            </w:pPr>
            <w:r>
              <w:t>On passage, or, if the bill does not receive the necessary vote, September 1, 2023.</w:t>
            </w:r>
          </w:p>
          <w:p w14:paraId="61680D73" w14:textId="77777777" w:rsidR="008423E4" w:rsidRPr="00233FDB" w:rsidRDefault="008423E4" w:rsidP="00346B12">
            <w:pPr>
              <w:rPr>
                <w:b/>
              </w:rPr>
            </w:pPr>
          </w:p>
        </w:tc>
      </w:tr>
    </w:tbl>
    <w:p w14:paraId="6F388A01" w14:textId="77777777" w:rsidR="008423E4" w:rsidRPr="00BE0E75" w:rsidRDefault="008423E4" w:rsidP="008423E4">
      <w:pPr>
        <w:spacing w:line="480" w:lineRule="auto"/>
        <w:jc w:val="both"/>
        <w:rPr>
          <w:rFonts w:ascii="Arial" w:hAnsi="Arial"/>
          <w:sz w:val="16"/>
          <w:szCs w:val="16"/>
        </w:rPr>
      </w:pPr>
    </w:p>
    <w:p w14:paraId="67132A98" w14:textId="77777777" w:rsidR="004108C3" w:rsidRPr="008423E4" w:rsidRDefault="004108C3"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E90C" w14:textId="77777777" w:rsidR="00000000" w:rsidRDefault="006352C6">
      <w:r>
        <w:separator/>
      </w:r>
    </w:p>
  </w:endnote>
  <w:endnote w:type="continuationSeparator" w:id="0">
    <w:p w14:paraId="64B28653" w14:textId="77777777" w:rsidR="00000000" w:rsidRDefault="0063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9AC5"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826B78" w14:paraId="71DD983D" w14:textId="77777777" w:rsidTr="009C1E9A">
      <w:trPr>
        <w:cantSplit/>
      </w:trPr>
      <w:tc>
        <w:tcPr>
          <w:tcW w:w="0" w:type="pct"/>
        </w:tcPr>
        <w:p w14:paraId="326A677B" w14:textId="77777777" w:rsidR="00137D90" w:rsidRDefault="00137D90" w:rsidP="009C1E9A">
          <w:pPr>
            <w:pStyle w:val="Footer"/>
            <w:tabs>
              <w:tab w:val="clear" w:pos="8640"/>
              <w:tab w:val="right" w:pos="9360"/>
            </w:tabs>
          </w:pPr>
        </w:p>
      </w:tc>
      <w:tc>
        <w:tcPr>
          <w:tcW w:w="2395" w:type="pct"/>
        </w:tcPr>
        <w:p w14:paraId="3710B1BA" w14:textId="77777777" w:rsidR="00137D90" w:rsidRDefault="00137D90" w:rsidP="009C1E9A">
          <w:pPr>
            <w:pStyle w:val="Footer"/>
            <w:tabs>
              <w:tab w:val="clear" w:pos="8640"/>
              <w:tab w:val="right" w:pos="9360"/>
            </w:tabs>
          </w:pPr>
        </w:p>
        <w:p w14:paraId="167EF075" w14:textId="77777777" w:rsidR="001A4310" w:rsidRDefault="001A4310" w:rsidP="009C1E9A">
          <w:pPr>
            <w:pStyle w:val="Footer"/>
            <w:tabs>
              <w:tab w:val="clear" w:pos="8640"/>
              <w:tab w:val="right" w:pos="9360"/>
            </w:tabs>
          </w:pPr>
        </w:p>
        <w:p w14:paraId="1EDB81B6" w14:textId="77777777" w:rsidR="00137D90" w:rsidRDefault="00137D90" w:rsidP="009C1E9A">
          <w:pPr>
            <w:pStyle w:val="Footer"/>
            <w:tabs>
              <w:tab w:val="clear" w:pos="8640"/>
              <w:tab w:val="right" w:pos="9360"/>
            </w:tabs>
          </w:pPr>
        </w:p>
      </w:tc>
      <w:tc>
        <w:tcPr>
          <w:tcW w:w="2453" w:type="pct"/>
        </w:tcPr>
        <w:p w14:paraId="660BE859" w14:textId="77777777" w:rsidR="00137D90" w:rsidRDefault="00137D90" w:rsidP="009C1E9A">
          <w:pPr>
            <w:pStyle w:val="Footer"/>
            <w:tabs>
              <w:tab w:val="clear" w:pos="8640"/>
              <w:tab w:val="right" w:pos="9360"/>
            </w:tabs>
            <w:jc w:val="right"/>
          </w:pPr>
        </w:p>
      </w:tc>
    </w:tr>
    <w:tr w:rsidR="00826B78" w14:paraId="5E720454" w14:textId="77777777" w:rsidTr="009C1E9A">
      <w:trPr>
        <w:cantSplit/>
      </w:trPr>
      <w:tc>
        <w:tcPr>
          <w:tcW w:w="0" w:type="pct"/>
        </w:tcPr>
        <w:p w14:paraId="5D264A4E" w14:textId="77777777" w:rsidR="00EC379B" w:rsidRDefault="00EC379B" w:rsidP="009C1E9A">
          <w:pPr>
            <w:pStyle w:val="Footer"/>
            <w:tabs>
              <w:tab w:val="clear" w:pos="8640"/>
              <w:tab w:val="right" w:pos="9360"/>
            </w:tabs>
          </w:pPr>
        </w:p>
      </w:tc>
      <w:tc>
        <w:tcPr>
          <w:tcW w:w="2395" w:type="pct"/>
        </w:tcPr>
        <w:p w14:paraId="20FD6CC7" w14:textId="40EEAD67" w:rsidR="00EC379B" w:rsidRPr="009C1E9A" w:rsidRDefault="006352C6" w:rsidP="009C1E9A">
          <w:pPr>
            <w:pStyle w:val="Footer"/>
            <w:tabs>
              <w:tab w:val="clear" w:pos="8640"/>
              <w:tab w:val="right" w:pos="9360"/>
            </w:tabs>
            <w:rPr>
              <w:rFonts w:ascii="Shruti" w:hAnsi="Shruti"/>
              <w:sz w:val="22"/>
            </w:rPr>
          </w:pPr>
          <w:r>
            <w:rPr>
              <w:rFonts w:ascii="Shruti" w:hAnsi="Shruti"/>
              <w:sz w:val="22"/>
            </w:rPr>
            <w:t>88R 22198-D</w:t>
          </w:r>
        </w:p>
      </w:tc>
      <w:tc>
        <w:tcPr>
          <w:tcW w:w="2453" w:type="pct"/>
        </w:tcPr>
        <w:p w14:paraId="3542CAFC" w14:textId="130F002F" w:rsidR="00EC379B" w:rsidRDefault="006352C6" w:rsidP="009C1E9A">
          <w:pPr>
            <w:pStyle w:val="Footer"/>
            <w:tabs>
              <w:tab w:val="clear" w:pos="8640"/>
              <w:tab w:val="right" w:pos="9360"/>
            </w:tabs>
            <w:jc w:val="right"/>
          </w:pPr>
          <w:r>
            <w:fldChar w:fldCharType="begin"/>
          </w:r>
          <w:r>
            <w:instrText xml:space="preserve"> DOCPROPERTY  OTID  \* MERGEFORMAT </w:instrText>
          </w:r>
          <w:r>
            <w:fldChar w:fldCharType="separate"/>
          </w:r>
          <w:r w:rsidR="00346B12">
            <w:t>23.94.634</w:t>
          </w:r>
          <w:r>
            <w:fldChar w:fldCharType="end"/>
          </w:r>
        </w:p>
      </w:tc>
    </w:tr>
    <w:tr w:rsidR="00826B78" w14:paraId="6719577B" w14:textId="77777777" w:rsidTr="009C1E9A">
      <w:trPr>
        <w:cantSplit/>
      </w:trPr>
      <w:tc>
        <w:tcPr>
          <w:tcW w:w="0" w:type="pct"/>
        </w:tcPr>
        <w:p w14:paraId="571D021A" w14:textId="77777777" w:rsidR="00EC379B" w:rsidRDefault="00EC379B" w:rsidP="009C1E9A">
          <w:pPr>
            <w:pStyle w:val="Footer"/>
            <w:tabs>
              <w:tab w:val="clear" w:pos="4320"/>
              <w:tab w:val="clear" w:pos="8640"/>
              <w:tab w:val="left" w:pos="2865"/>
            </w:tabs>
          </w:pPr>
        </w:p>
      </w:tc>
      <w:tc>
        <w:tcPr>
          <w:tcW w:w="2395" w:type="pct"/>
        </w:tcPr>
        <w:p w14:paraId="0EE67564"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3A323DEB" w14:textId="77777777" w:rsidR="00EC379B" w:rsidRDefault="00EC379B" w:rsidP="006D504F">
          <w:pPr>
            <w:pStyle w:val="Footer"/>
            <w:rPr>
              <w:rStyle w:val="PageNumber"/>
            </w:rPr>
          </w:pPr>
        </w:p>
        <w:p w14:paraId="347E29E0" w14:textId="77777777" w:rsidR="00EC379B" w:rsidRDefault="00EC379B" w:rsidP="009C1E9A">
          <w:pPr>
            <w:pStyle w:val="Footer"/>
            <w:tabs>
              <w:tab w:val="clear" w:pos="8640"/>
              <w:tab w:val="right" w:pos="9360"/>
            </w:tabs>
            <w:jc w:val="right"/>
          </w:pPr>
        </w:p>
      </w:tc>
    </w:tr>
    <w:tr w:rsidR="00826B78" w14:paraId="11962859" w14:textId="77777777" w:rsidTr="009C1E9A">
      <w:trPr>
        <w:cantSplit/>
        <w:trHeight w:val="323"/>
      </w:trPr>
      <w:tc>
        <w:tcPr>
          <w:tcW w:w="0" w:type="pct"/>
          <w:gridSpan w:val="3"/>
        </w:tcPr>
        <w:p w14:paraId="523DF31B" w14:textId="77777777" w:rsidR="00EC379B" w:rsidRDefault="006352C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DA44274" w14:textId="77777777" w:rsidR="00EC379B" w:rsidRDefault="00EC379B" w:rsidP="009C1E9A">
          <w:pPr>
            <w:pStyle w:val="Footer"/>
            <w:tabs>
              <w:tab w:val="clear" w:pos="8640"/>
              <w:tab w:val="right" w:pos="9360"/>
            </w:tabs>
            <w:jc w:val="center"/>
          </w:pPr>
        </w:p>
      </w:tc>
    </w:tr>
  </w:tbl>
  <w:p w14:paraId="48968764"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B17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6E56F" w14:textId="77777777" w:rsidR="00000000" w:rsidRDefault="006352C6">
      <w:r>
        <w:separator/>
      </w:r>
    </w:p>
  </w:footnote>
  <w:footnote w:type="continuationSeparator" w:id="0">
    <w:p w14:paraId="0D8844D6" w14:textId="77777777" w:rsidR="00000000" w:rsidRDefault="0063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B7A"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915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5C99"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B4355"/>
    <w:multiLevelType w:val="hybridMultilevel"/>
    <w:tmpl w:val="90A0F814"/>
    <w:lvl w:ilvl="0" w:tplc="5D6E9FE2">
      <w:start w:val="1"/>
      <w:numFmt w:val="bullet"/>
      <w:lvlText w:val=""/>
      <w:lvlJc w:val="left"/>
      <w:pPr>
        <w:tabs>
          <w:tab w:val="num" w:pos="720"/>
        </w:tabs>
        <w:ind w:left="720" w:hanging="360"/>
      </w:pPr>
      <w:rPr>
        <w:rFonts w:ascii="Symbol" w:hAnsi="Symbol" w:hint="default"/>
      </w:rPr>
    </w:lvl>
    <w:lvl w:ilvl="1" w:tplc="0ACA374C" w:tentative="1">
      <w:start w:val="1"/>
      <w:numFmt w:val="bullet"/>
      <w:lvlText w:val="o"/>
      <w:lvlJc w:val="left"/>
      <w:pPr>
        <w:ind w:left="1440" w:hanging="360"/>
      </w:pPr>
      <w:rPr>
        <w:rFonts w:ascii="Courier New" w:hAnsi="Courier New" w:cs="Courier New" w:hint="default"/>
      </w:rPr>
    </w:lvl>
    <w:lvl w:ilvl="2" w:tplc="B42A55E0" w:tentative="1">
      <w:start w:val="1"/>
      <w:numFmt w:val="bullet"/>
      <w:lvlText w:val=""/>
      <w:lvlJc w:val="left"/>
      <w:pPr>
        <w:ind w:left="2160" w:hanging="360"/>
      </w:pPr>
      <w:rPr>
        <w:rFonts w:ascii="Wingdings" w:hAnsi="Wingdings" w:hint="default"/>
      </w:rPr>
    </w:lvl>
    <w:lvl w:ilvl="3" w:tplc="FCD2CE84" w:tentative="1">
      <w:start w:val="1"/>
      <w:numFmt w:val="bullet"/>
      <w:lvlText w:val=""/>
      <w:lvlJc w:val="left"/>
      <w:pPr>
        <w:ind w:left="2880" w:hanging="360"/>
      </w:pPr>
      <w:rPr>
        <w:rFonts w:ascii="Symbol" w:hAnsi="Symbol" w:hint="default"/>
      </w:rPr>
    </w:lvl>
    <w:lvl w:ilvl="4" w:tplc="2564D63A" w:tentative="1">
      <w:start w:val="1"/>
      <w:numFmt w:val="bullet"/>
      <w:lvlText w:val="o"/>
      <w:lvlJc w:val="left"/>
      <w:pPr>
        <w:ind w:left="3600" w:hanging="360"/>
      </w:pPr>
      <w:rPr>
        <w:rFonts w:ascii="Courier New" w:hAnsi="Courier New" w:cs="Courier New" w:hint="default"/>
      </w:rPr>
    </w:lvl>
    <w:lvl w:ilvl="5" w:tplc="0F42C13A" w:tentative="1">
      <w:start w:val="1"/>
      <w:numFmt w:val="bullet"/>
      <w:lvlText w:val=""/>
      <w:lvlJc w:val="left"/>
      <w:pPr>
        <w:ind w:left="4320" w:hanging="360"/>
      </w:pPr>
      <w:rPr>
        <w:rFonts w:ascii="Wingdings" w:hAnsi="Wingdings" w:hint="default"/>
      </w:rPr>
    </w:lvl>
    <w:lvl w:ilvl="6" w:tplc="5C5CC0B2" w:tentative="1">
      <w:start w:val="1"/>
      <w:numFmt w:val="bullet"/>
      <w:lvlText w:val=""/>
      <w:lvlJc w:val="left"/>
      <w:pPr>
        <w:ind w:left="5040" w:hanging="360"/>
      </w:pPr>
      <w:rPr>
        <w:rFonts w:ascii="Symbol" w:hAnsi="Symbol" w:hint="default"/>
      </w:rPr>
    </w:lvl>
    <w:lvl w:ilvl="7" w:tplc="DF1CEE06" w:tentative="1">
      <w:start w:val="1"/>
      <w:numFmt w:val="bullet"/>
      <w:lvlText w:val="o"/>
      <w:lvlJc w:val="left"/>
      <w:pPr>
        <w:ind w:left="5760" w:hanging="360"/>
      </w:pPr>
      <w:rPr>
        <w:rFonts w:ascii="Courier New" w:hAnsi="Courier New" w:cs="Courier New" w:hint="default"/>
      </w:rPr>
    </w:lvl>
    <w:lvl w:ilvl="8" w:tplc="DBD2BFE4" w:tentative="1">
      <w:start w:val="1"/>
      <w:numFmt w:val="bullet"/>
      <w:lvlText w:val=""/>
      <w:lvlJc w:val="left"/>
      <w:pPr>
        <w:ind w:left="6480" w:hanging="360"/>
      </w:pPr>
      <w:rPr>
        <w:rFonts w:ascii="Wingdings" w:hAnsi="Wingdings" w:hint="default"/>
      </w:rPr>
    </w:lvl>
  </w:abstractNum>
  <w:num w:numId="1" w16cid:durableId="9089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53"/>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485F"/>
    <w:rsid w:val="00156AB2"/>
    <w:rsid w:val="00160402"/>
    <w:rsid w:val="00160571"/>
    <w:rsid w:val="00161E93"/>
    <w:rsid w:val="00162C7A"/>
    <w:rsid w:val="00162DAE"/>
    <w:rsid w:val="00162E91"/>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17B8"/>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2C72"/>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4C60"/>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5119"/>
    <w:rsid w:val="00346B12"/>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525E"/>
    <w:rsid w:val="00370155"/>
    <w:rsid w:val="003712D5"/>
    <w:rsid w:val="003747DF"/>
    <w:rsid w:val="00377E3D"/>
    <w:rsid w:val="00381153"/>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5F1A"/>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54CF"/>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0EE4"/>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4FAB"/>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4DD"/>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352C6"/>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6B78"/>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E62B7"/>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6BE8"/>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5AE1"/>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37E83"/>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82C01"/>
    <w:rsid w:val="00B90097"/>
    <w:rsid w:val="00B90999"/>
    <w:rsid w:val="00B91AD7"/>
    <w:rsid w:val="00B92D23"/>
    <w:rsid w:val="00B95BC8"/>
    <w:rsid w:val="00B96E87"/>
    <w:rsid w:val="00BA146A"/>
    <w:rsid w:val="00BA32EE"/>
    <w:rsid w:val="00BB382B"/>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71A"/>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16F8"/>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B8216B-DA88-4151-A6AA-BAF946CF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381153"/>
    <w:rPr>
      <w:sz w:val="16"/>
      <w:szCs w:val="16"/>
    </w:rPr>
  </w:style>
  <w:style w:type="paragraph" w:styleId="CommentText">
    <w:name w:val="annotation text"/>
    <w:basedOn w:val="Normal"/>
    <w:link w:val="CommentTextChar"/>
    <w:semiHidden/>
    <w:unhideWhenUsed/>
    <w:rsid w:val="00381153"/>
    <w:rPr>
      <w:sz w:val="20"/>
      <w:szCs w:val="20"/>
    </w:rPr>
  </w:style>
  <w:style w:type="character" w:customStyle="1" w:styleId="CommentTextChar">
    <w:name w:val="Comment Text Char"/>
    <w:basedOn w:val="DefaultParagraphFont"/>
    <w:link w:val="CommentText"/>
    <w:semiHidden/>
    <w:rsid w:val="00381153"/>
  </w:style>
  <w:style w:type="paragraph" w:styleId="CommentSubject">
    <w:name w:val="annotation subject"/>
    <w:basedOn w:val="CommentText"/>
    <w:next w:val="CommentText"/>
    <w:link w:val="CommentSubjectChar"/>
    <w:semiHidden/>
    <w:unhideWhenUsed/>
    <w:rsid w:val="00381153"/>
    <w:rPr>
      <w:b/>
      <w:bCs/>
    </w:rPr>
  </w:style>
  <w:style w:type="character" w:customStyle="1" w:styleId="CommentSubjectChar">
    <w:name w:val="Comment Subject Char"/>
    <w:basedOn w:val="CommentTextChar"/>
    <w:link w:val="CommentSubject"/>
    <w:semiHidden/>
    <w:rsid w:val="00381153"/>
    <w:rPr>
      <w:b/>
      <w:bCs/>
    </w:rPr>
  </w:style>
  <w:style w:type="character" w:styleId="Hyperlink">
    <w:name w:val="Hyperlink"/>
    <w:basedOn w:val="DefaultParagraphFont"/>
    <w:unhideWhenUsed/>
    <w:rsid w:val="00A37E83"/>
    <w:rPr>
      <w:color w:val="0000FF" w:themeColor="hyperlink"/>
      <w:u w:val="single"/>
    </w:rPr>
  </w:style>
  <w:style w:type="character" w:customStyle="1" w:styleId="UnresolvedMention1">
    <w:name w:val="Unresolved Mention1"/>
    <w:basedOn w:val="DefaultParagraphFont"/>
    <w:uiPriority w:val="99"/>
    <w:semiHidden/>
    <w:unhideWhenUsed/>
    <w:rsid w:val="00A37E83"/>
    <w:rPr>
      <w:color w:val="605E5C"/>
      <w:shd w:val="clear" w:color="auto" w:fill="E1DFDD"/>
    </w:rPr>
  </w:style>
  <w:style w:type="character" w:styleId="FollowedHyperlink">
    <w:name w:val="FollowedHyperlink"/>
    <w:basedOn w:val="DefaultParagraphFont"/>
    <w:semiHidden/>
    <w:unhideWhenUsed/>
    <w:rsid w:val="002217B8"/>
    <w:rPr>
      <w:color w:val="800080" w:themeColor="followedHyperlink"/>
      <w:u w:val="single"/>
    </w:rPr>
  </w:style>
  <w:style w:type="paragraph" w:styleId="Revision">
    <w:name w:val="Revision"/>
    <w:hidden/>
    <w:uiPriority w:val="99"/>
    <w:semiHidden/>
    <w:rsid w:val="002217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2199</Characters>
  <Application>Microsoft Office Word</Application>
  <DocSecurity>4</DocSecurity>
  <Lines>62</Lines>
  <Paragraphs>28</Paragraphs>
  <ScaleCrop>false</ScaleCrop>
  <HeadingPairs>
    <vt:vector size="2" baseType="variant">
      <vt:variant>
        <vt:lpstr>Title</vt:lpstr>
      </vt:variant>
      <vt:variant>
        <vt:i4>1</vt:i4>
      </vt:variant>
    </vt:vector>
  </HeadingPairs>
  <TitlesOfParts>
    <vt:vector size="1" baseType="lpstr">
      <vt:lpstr>BA - HB01620 (Committee Report (Unamended))</vt:lpstr>
    </vt:vector>
  </TitlesOfParts>
  <Company>State of Texas</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22198</dc:subject>
  <dc:creator>State of Texas</dc:creator>
  <dc:description>HB 1620 by Holland-(H)State Affairs</dc:description>
  <cp:lastModifiedBy>Stacey Nicchio</cp:lastModifiedBy>
  <cp:revision>2</cp:revision>
  <cp:lastPrinted>2003-11-26T17:21:00Z</cp:lastPrinted>
  <dcterms:created xsi:type="dcterms:W3CDTF">2023-04-10T22:40:00Z</dcterms:created>
  <dcterms:modified xsi:type="dcterms:W3CDTF">2023-04-10T22:40:00Z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23.94.634</vt:lpwstr>
  </property>
</Properties>
</file>