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54BB6" w14:paraId="26776C46" w14:textId="77777777" w:rsidTr="00345119">
        <w:tc>
          <w:tcPr>
            <w:tcW w:w="9576" w:type="dxa"/>
            <w:noWrap/>
          </w:tcPr>
          <w:p w14:paraId="521FBBE0" w14:textId="77777777" w:rsidR="008423E4" w:rsidRPr="0022177D" w:rsidRDefault="00B73BC1" w:rsidP="00757720">
            <w:pPr>
              <w:pStyle w:val="Heading1"/>
            </w:pPr>
            <w:r w:rsidRPr="00631897">
              <w:t>BILL ANALYSIS</w:t>
            </w:r>
          </w:p>
        </w:tc>
      </w:tr>
    </w:tbl>
    <w:p w14:paraId="4E81827C" w14:textId="77777777" w:rsidR="008423E4" w:rsidRPr="0022177D" w:rsidRDefault="008423E4" w:rsidP="00757720">
      <w:pPr>
        <w:jc w:val="center"/>
      </w:pPr>
    </w:p>
    <w:p w14:paraId="5977ACB5" w14:textId="77777777" w:rsidR="008423E4" w:rsidRPr="00B31F0E" w:rsidRDefault="008423E4" w:rsidP="00757720"/>
    <w:p w14:paraId="5F29778A" w14:textId="77777777" w:rsidR="008423E4" w:rsidRPr="00742794" w:rsidRDefault="008423E4" w:rsidP="00757720">
      <w:pPr>
        <w:tabs>
          <w:tab w:val="right" w:pos="9360"/>
        </w:tabs>
      </w:pPr>
    </w:p>
    <w:tbl>
      <w:tblPr>
        <w:tblW w:w="0" w:type="auto"/>
        <w:tblLayout w:type="fixed"/>
        <w:tblLook w:val="01E0" w:firstRow="1" w:lastRow="1" w:firstColumn="1" w:lastColumn="1" w:noHBand="0" w:noVBand="0"/>
      </w:tblPr>
      <w:tblGrid>
        <w:gridCol w:w="9576"/>
      </w:tblGrid>
      <w:tr w:rsidR="00354BB6" w14:paraId="10C1DA61" w14:textId="77777777" w:rsidTr="00345119">
        <w:tc>
          <w:tcPr>
            <w:tcW w:w="9576" w:type="dxa"/>
          </w:tcPr>
          <w:p w14:paraId="54DBD687" w14:textId="1C39AAEE" w:rsidR="008423E4" w:rsidRPr="00861995" w:rsidRDefault="00B73BC1" w:rsidP="00757720">
            <w:pPr>
              <w:jc w:val="right"/>
            </w:pPr>
            <w:r>
              <w:t>C.S.H.B. 1647</w:t>
            </w:r>
          </w:p>
        </w:tc>
      </w:tr>
      <w:tr w:rsidR="00354BB6" w14:paraId="6AD35762" w14:textId="77777777" w:rsidTr="00345119">
        <w:tc>
          <w:tcPr>
            <w:tcW w:w="9576" w:type="dxa"/>
          </w:tcPr>
          <w:p w14:paraId="77E36CD6" w14:textId="68D6DED4" w:rsidR="008423E4" w:rsidRPr="00861995" w:rsidRDefault="00B73BC1" w:rsidP="00757720">
            <w:pPr>
              <w:jc w:val="right"/>
            </w:pPr>
            <w:r>
              <w:t xml:space="preserve">By: </w:t>
            </w:r>
            <w:r w:rsidR="00B34966">
              <w:t>Harris, Cody</w:t>
            </w:r>
          </w:p>
        </w:tc>
      </w:tr>
      <w:tr w:rsidR="00354BB6" w14:paraId="5E81680D" w14:textId="77777777" w:rsidTr="00345119">
        <w:tc>
          <w:tcPr>
            <w:tcW w:w="9576" w:type="dxa"/>
          </w:tcPr>
          <w:p w14:paraId="48CC3E5E" w14:textId="6A6B1960" w:rsidR="008423E4" w:rsidRPr="00861995" w:rsidRDefault="00B73BC1" w:rsidP="00757720">
            <w:pPr>
              <w:jc w:val="right"/>
            </w:pPr>
            <w:r>
              <w:t>Insurance</w:t>
            </w:r>
          </w:p>
        </w:tc>
      </w:tr>
      <w:tr w:rsidR="00354BB6" w14:paraId="773009DA" w14:textId="77777777" w:rsidTr="00345119">
        <w:tc>
          <w:tcPr>
            <w:tcW w:w="9576" w:type="dxa"/>
          </w:tcPr>
          <w:p w14:paraId="258194A3" w14:textId="2F20AE10" w:rsidR="008423E4" w:rsidRDefault="00B73BC1" w:rsidP="00757720">
            <w:pPr>
              <w:jc w:val="right"/>
            </w:pPr>
            <w:r>
              <w:t>Committee Report (Substituted)</w:t>
            </w:r>
          </w:p>
        </w:tc>
      </w:tr>
    </w:tbl>
    <w:p w14:paraId="08F6EBD5" w14:textId="77777777" w:rsidR="008423E4" w:rsidRDefault="008423E4" w:rsidP="00757720">
      <w:pPr>
        <w:tabs>
          <w:tab w:val="right" w:pos="9360"/>
        </w:tabs>
      </w:pPr>
    </w:p>
    <w:p w14:paraId="03C1F2C5" w14:textId="77777777" w:rsidR="008423E4" w:rsidRDefault="008423E4" w:rsidP="00757720"/>
    <w:p w14:paraId="428B1F5F" w14:textId="77777777" w:rsidR="008423E4" w:rsidRDefault="008423E4" w:rsidP="00757720"/>
    <w:tbl>
      <w:tblPr>
        <w:tblW w:w="0" w:type="auto"/>
        <w:tblCellMar>
          <w:left w:w="115" w:type="dxa"/>
          <w:right w:w="115" w:type="dxa"/>
        </w:tblCellMar>
        <w:tblLook w:val="01E0" w:firstRow="1" w:lastRow="1" w:firstColumn="1" w:lastColumn="1" w:noHBand="0" w:noVBand="0"/>
      </w:tblPr>
      <w:tblGrid>
        <w:gridCol w:w="9360"/>
      </w:tblGrid>
      <w:tr w:rsidR="00354BB6" w14:paraId="66CEABC5" w14:textId="77777777" w:rsidTr="00757720">
        <w:tc>
          <w:tcPr>
            <w:tcW w:w="9360" w:type="dxa"/>
          </w:tcPr>
          <w:p w14:paraId="6E3F5501" w14:textId="77777777" w:rsidR="008423E4" w:rsidRPr="00A8133F" w:rsidRDefault="00B73BC1" w:rsidP="00757720">
            <w:pPr>
              <w:rPr>
                <w:b/>
              </w:rPr>
            </w:pPr>
            <w:r w:rsidRPr="009C1E9A">
              <w:rPr>
                <w:b/>
                <w:u w:val="single"/>
              </w:rPr>
              <w:t>BACKGROUND AND PURPOSE</w:t>
            </w:r>
            <w:r>
              <w:rPr>
                <w:b/>
              </w:rPr>
              <w:t xml:space="preserve"> </w:t>
            </w:r>
          </w:p>
          <w:p w14:paraId="0EACEADF" w14:textId="77777777" w:rsidR="008423E4" w:rsidRDefault="008423E4" w:rsidP="00757720"/>
          <w:p w14:paraId="1ABB28E2" w14:textId="0DF4EADA" w:rsidR="008423E4" w:rsidRDefault="00B73BC1" w:rsidP="00757720">
            <w:pPr>
              <w:pStyle w:val="Header"/>
              <w:jc w:val="both"/>
            </w:pPr>
            <w:r>
              <w:t>Patient advocates have</w:t>
            </w:r>
            <w:r w:rsidR="006D50F8">
              <w:t xml:space="preserve"> raised</w:t>
            </w:r>
            <w:r>
              <w:t xml:space="preserve"> concerns</w:t>
            </w:r>
            <w:r w:rsidR="006D50F8">
              <w:t xml:space="preserve"> over pat</w:t>
            </w:r>
            <w:r>
              <w:t>i</w:t>
            </w:r>
            <w:r w:rsidR="006D50F8">
              <w:t xml:space="preserve">ent safety </w:t>
            </w:r>
            <w:r>
              <w:t>with regard to</w:t>
            </w:r>
            <w:r w:rsidR="006D50F8">
              <w:t xml:space="preserve"> </w:t>
            </w:r>
            <w:r w:rsidR="009820E5">
              <w:t>"</w:t>
            </w:r>
            <w:r w:rsidR="006D50F8">
              <w:t>w</w:t>
            </w:r>
            <w:r w:rsidR="00EF2374">
              <w:t>hitebagging</w:t>
            </w:r>
            <w:r w:rsidR="006D50F8">
              <w:t>,</w:t>
            </w:r>
            <w:r w:rsidR="009820E5">
              <w:t>"</w:t>
            </w:r>
            <w:r w:rsidR="00EF2374">
              <w:t xml:space="preserve"> the practice of delivering drugs, typically infusion drugs, from a pharmacy, physician</w:t>
            </w:r>
            <w:r w:rsidR="009820E5">
              <w:t>'</w:t>
            </w:r>
            <w:r w:rsidR="00EF2374">
              <w:t>s office</w:t>
            </w:r>
            <w:r>
              <w:t>,</w:t>
            </w:r>
            <w:r w:rsidR="00EF2374">
              <w:t xml:space="preserve"> or </w:t>
            </w:r>
            <w:r w:rsidR="00B16759">
              <w:t>other site of service</w:t>
            </w:r>
            <w:r w:rsidR="00EF2374">
              <w:t xml:space="preserve"> where </w:t>
            </w:r>
            <w:r w:rsidR="00180E98">
              <w:t xml:space="preserve">a </w:t>
            </w:r>
            <w:r w:rsidR="00EF2374">
              <w:t>provider can administer the drugs to the patient</w:t>
            </w:r>
            <w:r>
              <w:t xml:space="preserve">. </w:t>
            </w:r>
            <w:r w:rsidR="00B16759">
              <w:t xml:space="preserve">According to community oncologists, the practice of whitebagging can cause delays that lead to disease progression and are not in the best interest of patient outcomes. In addition, concerns exist regarding </w:t>
            </w:r>
            <w:r w:rsidR="00EF2374">
              <w:t xml:space="preserve">the chain of custody of </w:t>
            </w:r>
            <w:r w:rsidR="00B16759">
              <w:t xml:space="preserve">the </w:t>
            </w:r>
            <w:r w:rsidR="00EF2374">
              <w:t>drugs</w:t>
            </w:r>
            <w:r w:rsidR="00B16759">
              <w:t xml:space="preserve"> that, when being whitebagged, do not follow the typical model of delivery to which physicians are accustomed</w:t>
            </w:r>
            <w:r w:rsidR="00EF2374">
              <w:t>. C</w:t>
            </w:r>
            <w:r w:rsidR="00BA2C52">
              <w:t>.</w:t>
            </w:r>
            <w:r w:rsidR="00EF2374">
              <w:t>S</w:t>
            </w:r>
            <w:r w:rsidR="00BA2C52">
              <w:t>.</w:t>
            </w:r>
            <w:r w:rsidR="00EF2374">
              <w:t>H</w:t>
            </w:r>
            <w:r w:rsidR="00BA2C52">
              <w:t>.</w:t>
            </w:r>
            <w:r w:rsidR="00EF2374">
              <w:t>B</w:t>
            </w:r>
            <w:r w:rsidR="00BA2C52">
              <w:t>.</w:t>
            </w:r>
            <w:r w:rsidR="00EF2374">
              <w:t xml:space="preserve"> 1647 </w:t>
            </w:r>
            <w:r w:rsidR="00BA2C52">
              <w:t xml:space="preserve">seeks to </w:t>
            </w:r>
            <w:r w:rsidR="00EF2374">
              <w:t>protect patient choice</w:t>
            </w:r>
            <w:r w:rsidR="00BA2C52">
              <w:t xml:space="preserve"> and safety</w:t>
            </w:r>
            <w:r w:rsidR="00EF2374">
              <w:t>,</w:t>
            </w:r>
            <w:r w:rsidR="00BA2C52">
              <w:t xml:space="preserve"> and</w:t>
            </w:r>
            <w:r w:rsidR="00EF2374">
              <w:t xml:space="preserve"> the patient</w:t>
            </w:r>
            <w:r>
              <w:t>-</w:t>
            </w:r>
            <w:r w:rsidR="00EF2374">
              <w:t>physician relationship</w:t>
            </w:r>
            <w:r>
              <w:t xml:space="preserve">, </w:t>
            </w:r>
            <w:r w:rsidR="00EF2374">
              <w:t xml:space="preserve">by prohibiting </w:t>
            </w:r>
            <w:r w:rsidR="00B16759">
              <w:t xml:space="preserve">issuers of certain </w:t>
            </w:r>
            <w:r w:rsidR="00EF2374">
              <w:t xml:space="preserve">health plans from </w:t>
            </w:r>
            <w:r w:rsidR="00B16759">
              <w:t xml:space="preserve">imposing certain </w:t>
            </w:r>
            <w:r w:rsidR="00BA2C52">
              <w:t>limit</w:t>
            </w:r>
            <w:r w:rsidR="00B16759">
              <w:t>ations</w:t>
            </w:r>
            <w:r w:rsidR="00EF2374">
              <w:t xml:space="preserve"> </w:t>
            </w:r>
            <w:r w:rsidR="00B16759">
              <w:t>relating to coverage of</w:t>
            </w:r>
            <w:r w:rsidR="00BA2C52" w:rsidRPr="00BA2C52">
              <w:t xml:space="preserve"> clinician-administered drugs </w:t>
            </w:r>
            <w:r w:rsidR="00B16759">
              <w:t>under certain circumstances</w:t>
            </w:r>
            <w:r>
              <w:t xml:space="preserve"> </w:t>
            </w:r>
            <w:r w:rsidR="008B198C">
              <w:t>for</w:t>
            </w:r>
            <w:r w:rsidR="00EF2374">
              <w:t xml:space="preserve"> patients</w:t>
            </w:r>
            <w:r w:rsidR="008B198C">
              <w:t xml:space="preserve"> </w:t>
            </w:r>
            <w:r w:rsidR="008B198C" w:rsidRPr="008B198C">
              <w:t xml:space="preserve">with chronic, complex, rare, </w:t>
            </w:r>
            <w:r w:rsidR="00B16759">
              <w:t>and</w:t>
            </w:r>
            <w:r w:rsidR="008B198C" w:rsidRPr="008B198C">
              <w:t xml:space="preserve"> life-threatening medical condition</w:t>
            </w:r>
            <w:r w:rsidR="00B16759">
              <w:t>s</w:t>
            </w:r>
            <w:r w:rsidR="00EF2374">
              <w:t>.</w:t>
            </w:r>
          </w:p>
          <w:p w14:paraId="191C1E9A" w14:textId="77777777" w:rsidR="008423E4" w:rsidRPr="00E26B13" w:rsidRDefault="008423E4" w:rsidP="00757720">
            <w:pPr>
              <w:rPr>
                <w:b/>
              </w:rPr>
            </w:pPr>
          </w:p>
        </w:tc>
      </w:tr>
      <w:tr w:rsidR="00354BB6" w14:paraId="64AC120C" w14:textId="77777777" w:rsidTr="00757720">
        <w:tc>
          <w:tcPr>
            <w:tcW w:w="9360" w:type="dxa"/>
          </w:tcPr>
          <w:p w14:paraId="21A09CC1" w14:textId="77777777" w:rsidR="0017725B" w:rsidRDefault="00B73BC1" w:rsidP="00757720">
            <w:pPr>
              <w:rPr>
                <w:b/>
                <w:u w:val="single"/>
              </w:rPr>
            </w:pPr>
            <w:r>
              <w:rPr>
                <w:b/>
                <w:u w:val="single"/>
              </w:rPr>
              <w:t>CRIMINAL JUSTICE IMPACT</w:t>
            </w:r>
          </w:p>
          <w:p w14:paraId="29AA5914" w14:textId="77777777" w:rsidR="0017725B" w:rsidRDefault="0017725B" w:rsidP="00757720">
            <w:pPr>
              <w:rPr>
                <w:b/>
                <w:u w:val="single"/>
              </w:rPr>
            </w:pPr>
          </w:p>
          <w:p w14:paraId="59F8B50A" w14:textId="35463479" w:rsidR="00B12A74" w:rsidRPr="00B12A74" w:rsidRDefault="00B73BC1" w:rsidP="00757720">
            <w:pPr>
              <w:jc w:val="both"/>
            </w:pPr>
            <w:r>
              <w:t>It is the committee's opinion that this bill does not expressly create a criminal offens</w:t>
            </w:r>
            <w:r>
              <w:t>e, increase the punishment for an existing criminal offense or category of offenses, or change the eligibility of a person for community supervision, parole, or mandatory supervision.</w:t>
            </w:r>
          </w:p>
          <w:p w14:paraId="2883D5C1" w14:textId="77777777" w:rsidR="0017725B" w:rsidRPr="0017725B" w:rsidRDefault="0017725B" w:rsidP="00757720">
            <w:pPr>
              <w:rPr>
                <w:b/>
                <w:u w:val="single"/>
              </w:rPr>
            </w:pPr>
          </w:p>
        </w:tc>
      </w:tr>
      <w:tr w:rsidR="00354BB6" w14:paraId="03BC4A01" w14:textId="77777777" w:rsidTr="00757720">
        <w:tc>
          <w:tcPr>
            <w:tcW w:w="9360" w:type="dxa"/>
          </w:tcPr>
          <w:p w14:paraId="383D3465" w14:textId="77777777" w:rsidR="008423E4" w:rsidRPr="00A8133F" w:rsidRDefault="00B73BC1" w:rsidP="00757720">
            <w:pPr>
              <w:rPr>
                <w:b/>
              </w:rPr>
            </w:pPr>
            <w:r w:rsidRPr="009C1E9A">
              <w:rPr>
                <w:b/>
                <w:u w:val="single"/>
              </w:rPr>
              <w:t>RULEMAKING AUTHORITY</w:t>
            </w:r>
            <w:r>
              <w:rPr>
                <w:b/>
              </w:rPr>
              <w:t xml:space="preserve"> </w:t>
            </w:r>
          </w:p>
          <w:p w14:paraId="1F0FDEF6" w14:textId="77777777" w:rsidR="008423E4" w:rsidRDefault="008423E4" w:rsidP="00757720"/>
          <w:p w14:paraId="2FC0C8FE" w14:textId="11EB9005" w:rsidR="00B12A74" w:rsidRDefault="00B73BC1" w:rsidP="00757720">
            <w:pPr>
              <w:pStyle w:val="Header"/>
              <w:tabs>
                <w:tab w:val="clear" w:pos="4320"/>
                <w:tab w:val="clear" w:pos="8640"/>
              </w:tabs>
              <w:jc w:val="both"/>
            </w:pPr>
            <w:r>
              <w:t>It is the committee's opinion that this bill do</w:t>
            </w:r>
            <w:r>
              <w:t>es not expressly grant any additional rulemaking authority to a state officer, department, agency, or institution.</w:t>
            </w:r>
          </w:p>
          <w:p w14:paraId="13C18FF4" w14:textId="77777777" w:rsidR="008423E4" w:rsidRPr="00E21FDC" w:rsidRDefault="008423E4" w:rsidP="00757720">
            <w:pPr>
              <w:rPr>
                <w:b/>
              </w:rPr>
            </w:pPr>
          </w:p>
        </w:tc>
      </w:tr>
      <w:tr w:rsidR="00354BB6" w14:paraId="6422E033" w14:textId="77777777" w:rsidTr="00757720">
        <w:tc>
          <w:tcPr>
            <w:tcW w:w="9360" w:type="dxa"/>
          </w:tcPr>
          <w:p w14:paraId="696FAAFA" w14:textId="77777777" w:rsidR="008423E4" w:rsidRPr="00A8133F" w:rsidRDefault="00B73BC1" w:rsidP="00757720">
            <w:pPr>
              <w:rPr>
                <w:b/>
              </w:rPr>
            </w:pPr>
            <w:r w:rsidRPr="009C1E9A">
              <w:rPr>
                <w:b/>
                <w:u w:val="single"/>
              </w:rPr>
              <w:t>ANALYSIS</w:t>
            </w:r>
            <w:r>
              <w:rPr>
                <w:b/>
              </w:rPr>
              <w:t xml:space="preserve"> </w:t>
            </w:r>
          </w:p>
          <w:p w14:paraId="7BFF35DF" w14:textId="77777777" w:rsidR="008423E4" w:rsidRDefault="008423E4" w:rsidP="00757720"/>
          <w:p w14:paraId="7D92F4AC" w14:textId="149FFB4E" w:rsidR="006A2119" w:rsidRDefault="00B73BC1" w:rsidP="00757720">
            <w:pPr>
              <w:pStyle w:val="Header"/>
              <w:jc w:val="both"/>
            </w:pPr>
            <w:r>
              <w:t>C.S.</w:t>
            </w:r>
            <w:r w:rsidR="00D60E76">
              <w:t xml:space="preserve">H.B. 1647 </w:t>
            </w:r>
            <w:r w:rsidR="00B12A74">
              <w:t>amends the Insurance Code to prohibit certain health benefit plan issuers, for a</w:t>
            </w:r>
            <w:r w:rsidR="00CF17B4">
              <w:t>n</w:t>
            </w:r>
            <w:r w:rsidR="00B12A74">
              <w:t xml:space="preserve"> </w:t>
            </w:r>
            <w:r w:rsidR="00A10F84" w:rsidRPr="00A10F84">
              <w:t xml:space="preserve">enrollee </w:t>
            </w:r>
            <w:r w:rsidR="00B12A74">
              <w:t xml:space="preserve">with a </w:t>
            </w:r>
            <w:r w:rsidR="00A10F84" w:rsidRPr="00A10F84">
              <w:t>chronic, complex, rare,</w:t>
            </w:r>
            <w:r w:rsidR="00B12A74">
              <w:t xml:space="preserve"> or</w:t>
            </w:r>
            <w:r w:rsidR="00A10F84">
              <w:t xml:space="preserve"> </w:t>
            </w:r>
            <w:r w:rsidR="00A10F84" w:rsidRPr="00A10F84">
              <w:t>life-threatening medical condition</w:t>
            </w:r>
            <w:r w:rsidR="00B12A74">
              <w:t>, from</w:t>
            </w:r>
            <w:r w:rsidR="00D60E76">
              <w:t xml:space="preserve"> doing</w:t>
            </w:r>
            <w:r w:rsidR="00B12A74">
              <w:t xml:space="preserve"> </w:t>
            </w:r>
            <w:r>
              <w:t>the following:</w:t>
            </w:r>
          </w:p>
          <w:p w14:paraId="5EF9FC1A" w14:textId="48A7C9EC" w:rsidR="006A2119" w:rsidRDefault="00B73BC1" w:rsidP="00757720">
            <w:pPr>
              <w:pStyle w:val="Header"/>
              <w:numPr>
                <w:ilvl w:val="0"/>
                <w:numId w:val="1"/>
              </w:numPr>
              <w:jc w:val="both"/>
            </w:pPr>
            <w:r>
              <w:t xml:space="preserve">limiting </w:t>
            </w:r>
            <w:r w:rsidR="006F6C73">
              <w:t>where</w:t>
            </w:r>
            <w:r w:rsidR="00B12A74">
              <w:t xml:space="preserve"> clinician-administered drug</w:t>
            </w:r>
            <w:r w:rsidR="00A10F84">
              <w:t>s</w:t>
            </w:r>
            <w:r w:rsidR="00B12A74">
              <w:t xml:space="preserve"> </w:t>
            </w:r>
            <w:r w:rsidR="006F6C73">
              <w:t xml:space="preserve">may </w:t>
            </w:r>
            <w:r w:rsidR="00B12A74">
              <w:t xml:space="preserve">be dispensed </w:t>
            </w:r>
            <w:r w:rsidR="006F6C73">
              <w:t xml:space="preserve">to </w:t>
            </w:r>
            <w:r w:rsidR="00A10F84">
              <w:t xml:space="preserve">certain </w:t>
            </w:r>
            <w:r w:rsidR="00B12A74">
              <w:t>pharmac</w:t>
            </w:r>
            <w:r w:rsidR="00A10F84">
              <w:t>ies</w:t>
            </w:r>
            <w:r w:rsidR="00B12A74">
              <w:t xml:space="preserve"> or</w:t>
            </w:r>
            <w:r>
              <w:t xml:space="preserve"> </w:t>
            </w:r>
            <w:r w:rsidR="00AA6548">
              <w:t>to</w:t>
            </w:r>
            <w:r>
              <w:t xml:space="preserve"> in</w:t>
            </w:r>
            <w:r w:rsidR="008F218F">
              <w:t>-</w:t>
            </w:r>
            <w:r>
              <w:t>network pharmac</w:t>
            </w:r>
            <w:r w:rsidR="00AA6548">
              <w:t>ies</w:t>
            </w:r>
            <w:r>
              <w:t>;</w:t>
            </w:r>
          </w:p>
          <w:p w14:paraId="2CCA2160" w14:textId="670512D8" w:rsidR="008F218F" w:rsidRDefault="00B73BC1" w:rsidP="00757720">
            <w:pPr>
              <w:pStyle w:val="Header"/>
              <w:numPr>
                <w:ilvl w:val="0"/>
                <w:numId w:val="1"/>
              </w:numPr>
              <w:jc w:val="both"/>
            </w:pPr>
            <w:r>
              <w:t xml:space="preserve">limiting or </w:t>
            </w:r>
            <w:r w:rsidRPr="006A2119">
              <w:t>exclud</w:t>
            </w:r>
            <w:r>
              <w:t>ing</w:t>
            </w:r>
            <w:r w:rsidRPr="006A2119">
              <w:t xml:space="preserve"> coverage for such drugs</w:t>
            </w:r>
            <w:r w:rsidR="00080BBC">
              <w:t>,</w:t>
            </w:r>
            <w:r w:rsidRPr="006A2119">
              <w:t xml:space="preserve"> </w:t>
            </w:r>
            <w:r w:rsidR="00080BBC">
              <w:t xml:space="preserve">that are otherwise covered, </w:t>
            </w:r>
            <w:r w:rsidRPr="006A2119">
              <w:t>based on the enrollee's choice of pharmacy</w:t>
            </w:r>
            <w:r>
              <w:t xml:space="preserve"> or</w:t>
            </w:r>
            <w:r w:rsidRPr="006A2119">
              <w:t xml:space="preserve"> </w:t>
            </w:r>
            <w:r w:rsidRPr="008F218F">
              <w:t>the pharmacy</w:t>
            </w:r>
            <w:r w:rsidR="009820E5">
              <w:t>'</w:t>
            </w:r>
            <w:r w:rsidR="006F1B3A">
              <w:t>s participation in the plan issuer</w:t>
            </w:r>
            <w:r w:rsidR="009820E5">
              <w:t>'</w:t>
            </w:r>
            <w:r w:rsidR="006F1B3A">
              <w:t>s network</w:t>
            </w:r>
            <w:r>
              <w:t>;</w:t>
            </w:r>
          </w:p>
          <w:p w14:paraId="18CD1031" w14:textId="48B0DE41" w:rsidR="008F218F" w:rsidRDefault="00B73BC1" w:rsidP="00757720">
            <w:pPr>
              <w:pStyle w:val="Header"/>
              <w:numPr>
                <w:ilvl w:val="0"/>
                <w:numId w:val="1"/>
              </w:numPr>
              <w:jc w:val="both"/>
            </w:pPr>
            <w:r w:rsidRPr="00EF2374">
              <w:t>requir</w:t>
            </w:r>
            <w:r>
              <w:t>ing</w:t>
            </w:r>
            <w:r w:rsidRPr="00EF2374">
              <w:t xml:space="preserve"> a physician or health care provider participating in the plan issuer's network to bill for or be reimbursed for the delivery and administration of </w:t>
            </w:r>
            <w:r w:rsidR="009A5A6A">
              <w:t>such</w:t>
            </w:r>
            <w:r w:rsidRPr="00EF2374">
              <w:t xml:space="preserve"> drugs under the pharmacy benefit instead of the medical benefit withou</w:t>
            </w:r>
            <w:r w:rsidR="009A5A6A">
              <w:t xml:space="preserve">t </w:t>
            </w:r>
            <w:r w:rsidR="008342F5">
              <w:t>the patient</w:t>
            </w:r>
            <w:r w:rsidR="009359E1">
              <w:t>'</w:t>
            </w:r>
            <w:r w:rsidR="008342F5">
              <w:t xml:space="preserve">s </w:t>
            </w:r>
            <w:r w:rsidR="009A5A6A" w:rsidRPr="009A5A6A">
              <w:t>informed written consent</w:t>
            </w:r>
            <w:r w:rsidR="009A5A6A">
              <w:t xml:space="preserve"> and </w:t>
            </w:r>
            <w:r w:rsidR="009A5A6A" w:rsidRPr="009A5A6A">
              <w:t>written attestation by the patient's physician or provider that a delay in the drug's administration will not place the patient at an increased health risk</w:t>
            </w:r>
            <w:r w:rsidRPr="008F218F">
              <w:t>; or</w:t>
            </w:r>
            <w:r w:rsidR="009A5A6A">
              <w:t xml:space="preserve"> </w:t>
            </w:r>
          </w:p>
          <w:p w14:paraId="755FE326" w14:textId="189AB91F" w:rsidR="008F218F" w:rsidRDefault="00B73BC1" w:rsidP="00757720">
            <w:pPr>
              <w:pStyle w:val="Header"/>
              <w:numPr>
                <w:ilvl w:val="0"/>
                <w:numId w:val="1"/>
              </w:numPr>
              <w:jc w:val="both"/>
            </w:pPr>
            <w:r w:rsidRPr="008F218F">
              <w:t>requir</w:t>
            </w:r>
            <w:r w:rsidR="00D8451D">
              <w:t>ing</w:t>
            </w:r>
            <w:r w:rsidRPr="008F218F">
              <w:t xml:space="preserve"> that an enrollee pay an additional fee, hi</w:t>
            </w:r>
            <w:r w:rsidRPr="008F218F">
              <w:t xml:space="preserve">gher copay, higher coinsurance, second copay, second coinsurance, or any other price increase for clinician-administered drugs based on the enrollee's choice of pharmacy or </w:t>
            </w:r>
            <w:r w:rsidR="006F1B3A">
              <w:t xml:space="preserve">the </w:t>
            </w:r>
            <w:r w:rsidRPr="008F218F">
              <w:t>pharmacy</w:t>
            </w:r>
            <w:r w:rsidR="009820E5">
              <w:t>'</w:t>
            </w:r>
            <w:r w:rsidR="006F1B3A">
              <w:t>s participation in the plan issuer</w:t>
            </w:r>
            <w:r w:rsidR="00B141E8">
              <w:t>'</w:t>
            </w:r>
            <w:r w:rsidR="006F1B3A">
              <w:t>s network</w:t>
            </w:r>
            <w:r w:rsidRPr="008F218F">
              <w:t>.</w:t>
            </w:r>
          </w:p>
          <w:p w14:paraId="7AC3C869" w14:textId="264207F5" w:rsidR="009A5A6A" w:rsidRDefault="00B73BC1" w:rsidP="00757720">
            <w:pPr>
              <w:pStyle w:val="Header"/>
              <w:jc w:val="both"/>
            </w:pPr>
            <w:r>
              <w:t xml:space="preserve">The prohibitions apply only if the patient's physician or provider determines that a delay of care would make disease progression probable or </w:t>
            </w:r>
            <w:r w:rsidR="007F0E7C">
              <w:t xml:space="preserve">the </w:t>
            </w:r>
            <w:r>
              <w:t>use of a pharmacy within the plan issuer's network would make death or patient harm probable, potentially caus</w:t>
            </w:r>
            <w:r>
              <w:t>e a barrier to the patient's adherence to or compliance with the plan of care, or</w:t>
            </w:r>
            <w:r w:rsidR="00F00775">
              <w:t>,</w:t>
            </w:r>
            <w:r>
              <w:t xml:space="preserve"> because of the timeliness of the delivery or dosage requirements</w:t>
            </w:r>
            <w:r w:rsidR="00F00775">
              <w:t>,</w:t>
            </w:r>
            <w:r>
              <w:t xml:space="preserve"> necessitate delivery by a different pharmacy.</w:t>
            </w:r>
          </w:p>
          <w:p w14:paraId="6D5F2CC4" w14:textId="77777777" w:rsidR="006A2119" w:rsidRDefault="006A2119" w:rsidP="00757720">
            <w:pPr>
              <w:pStyle w:val="Header"/>
              <w:ind w:left="360"/>
              <w:jc w:val="both"/>
            </w:pPr>
          </w:p>
          <w:p w14:paraId="7B069990" w14:textId="188A86D5" w:rsidR="008110FF" w:rsidRDefault="00B73BC1" w:rsidP="00757720">
            <w:pPr>
              <w:pStyle w:val="Header"/>
              <w:jc w:val="both"/>
            </w:pPr>
            <w:r>
              <w:t>C.S.</w:t>
            </w:r>
            <w:r w:rsidR="00D60E76">
              <w:t xml:space="preserve">H.B. 1647 </w:t>
            </w:r>
            <w:r w:rsidR="00055465">
              <w:t xml:space="preserve">defines </w:t>
            </w:r>
            <w:r w:rsidR="009820E5">
              <w:t>"</w:t>
            </w:r>
            <w:r w:rsidR="00055465">
              <w:t>clinician-administered drug</w:t>
            </w:r>
            <w:r w:rsidR="009820E5">
              <w:t>"</w:t>
            </w:r>
            <w:r w:rsidR="00055465">
              <w:t xml:space="preserve"> </w:t>
            </w:r>
            <w:r>
              <w:t>as an ou</w:t>
            </w:r>
            <w:r>
              <w:t>tpatient prescription drug other than a vaccine that meets the following criteria:</w:t>
            </w:r>
          </w:p>
          <w:p w14:paraId="6F1EF0FE" w14:textId="77777777" w:rsidR="008110FF" w:rsidRDefault="00B73BC1" w:rsidP="00757720">
            <w:pPr>
              <w:pStyle w:val="Header"/>
              <w:numPr>
                <w:ilvl w:val="0"/>
                <w:numId w:val="2"/>
              </w:numPr>
              <w:jc w:val="both"/>
            </w:pPr>
            <w:r>
              <w:t>it cannot reasonably be self-administered by the patient or administered by an individual assisting the patient with self-administration; and</w:t>
            </w:r>
          </w:p>
          <w:p w14:paraId="4DFDA48F" w14:textId="15635840" w:rsidR="008110FF" w:rsidRDefault="00B73BC1" w:rsidP="00757720">
            <w:pPr>
              <w:pStyle w:val="Header"/>
              <w:numPr>
                <w:ilvl w:val="0"/>
                <w:numId w:val="2"/>
              </w:numPr>
              <w:jc w:val="both"/>
            </w:pPr>
            <w:r>
              <w:t>it is typically administered in</w:t>
            </w:r>
            <w:r>
              <w:t xml:space="preserve"> a physician</w:t>
            </w:r>
            <w:r w:rsidR="009820E5">
              <w:t>'</w:t>
            </w:r>
            <w:r>
              <w:t>s office by a physician or other health care provider authorized to administer the drug.</w:t>
            </w:r>
          </w:p>
          <w:p w14:paraId="534604A4" w14:textId="16460CCD" w:rsidR="00B12A74" w:rsidRDefault="00B73BC1" w:rsidP="00757720">
            <w:pPr>
              <w:pStyle w:val="Header"/>
              <w:jc w:val="both"/>
            </w:pPr>
            <w:r>
              <w:t>Nothing in the bill's provisions may be construed to authorize a person to administer a drug otherwise prohibited under Texas or federal law or modify dru</w:t>
            </w:r>
            <w:r>
              <w:t>g administration requirements under Texas law, including any requirements related to the delegation and supervision of drug administration.</w:t>
            </w:r>
          </w:p>
          <w:p w14:paraId="1F6BA4D3" w14:textId="77777777" w:rsidR="00B12A74" w:rsidRDefault="00B12A74" w:rsidP="00757720">
            <w:pPr>
              <w:pStyle w:val="Header"/>
              <w:jc w:val="both"/>
            </w:pPr>
          </w:p>
          <w:p w14:paraId="08C2B249" w14:textId="68A0E517" w:rsidR="009C36CD" w:rsidRPr="009C36CD" w:rsidRDefault="00B73BC1" w:rsidP="00757720">
            <w:pPr>
              <w:pStyle w:val="Header"/>
              <w:tabs>
                <w:tab w:val="clear" w:pos="4320"/>
                <w:tab w:val="clear" w:pos="8640"/>
              </w:tabs>
              <w:jc w:val="both"/>
            </w:pPr>
            <w:r>
              <w:t>C.S.</w:t>
            </w:r>
            <w:r w:rsidR="00D60E76">
              <w:t xml:space="preserve">H.B. 1647 </w:t>
            </w:r>
            <w:r w:rsidR="0099771B">
              <w:t xml:space="preserve">specifies the sources of coverage to which its provisions apply and establishes </w:t>
            </w:r>
            <w:r w:rsidR="00B12A74">
              <w:t>exceptions to</w:t>
            </w:r>
            <w:r w:rsidR="0099771B">
              <w:t xml:space="preserve"> that</w:t>
            </w:r>
            <w:r w:rsidR="00B12A74">
              <w:t xml:space="preserve"> applicability. The bill applies only to a health benefit plan that is delivered, issued for delivery, or renewed on or after January 1,</w:t>
            </w:r>
            <w:r w:rsidR="00D60E76">
              <w:t xml:space="preserve"> 2024</w:t>
            </w:r>
            <w:r w:rsidR="00B12A74">
              <w:t>.</w:t>
            </w:r>
          </w:p>
          <w:p w14:paraId="303E612E" w14:textId="77777777" w:rsidR="008423E4" w:rsidRPr="00835628" w:rsidRDefault="008423E4" w:rsidP="00757720">
            <w:pPr>
              <w:rPr>
                <w:b/>
              </w:rPr>
            </w:pPr>
          </w:p>
        </w:tc>
      </w:tr>
      <w:tr w:rsidR="00354BB6" w14:paraId="4F85DD8F" w14:textId="77777777" w:rsidTr="00757720">
        <w:tc>
          <w:tcPr>
            <w:tcW w:w="9360" w:type="dxa"/>
          </w:tcPr>
          <w:p w14:paraId="28FFF11A" w14:textId="77777777" w:rsidR="008423E4" w:rsidRPr="00A8133F" w:rsidRDefault="00B73BC1" w:rsidP="00757720">
            <w:pPr>
              <w:rPr>
                <w:b/>
              </w:rPr>
            </w:pPr>
            <w:r w:rsidRPr="009C1E9A">
              <w:rPr>
                <w:b/>
                <w:u w:val="single"/>
              </w:rPr>
              <w:t>EFFECTIVE DATE</w:t>
            </w:r>
            <w:r>
              <w:rPr>
                <w:b/>
              </w:rPr>
              <w:t xml:space="preserve"> </w:t>
            </w:r>
          </w:p>
          <w:p w14:paraId="7DD12D7C" w14:textId="77777777" w:rsidR="008423E4" w:rsidRDefault="008423E4" w:rsidP="00757720"/>
          <w:p w14:paraId="5CCAF358" w14:textId="06E05ADD" w:rsidR="008423E4" w:rsidRPr="003624F2" w:rsidRDefault="00B73BC1" w:rsidP="00757720">
            <w:pPr>
              <w:pStyle w:val="Header"/>
              <w:tabs>
                <w:tab w:val="clear" w:pos="4320"/>
                <w:tab w:val="clear" w:pos="8640"/>
              </w:tabs>
              <w:jc w:val="both"/>
            </w:pPr>
            <w:r>
              <w:t>September 1, 2023.</w:t>
            </w:r>
          </w:p>
          <w:p w14:paraId="70E65633" w14:textId="77777777" w:rsidR="008423E4" w:rsidRPr="00233FDB" w:rsidRDefault="008423E4" w:rsidP="00757720">
            <w:pPr>
              <w:rPr>
                <w:b/>
              </w:rPr>
            </w:pPr>
          </w:p>
        </w:tc>
      </w:tr>
      <w:tr w:rsidR="00354BB6" w14:paraId="5CE94765" w14:textId="77777777" w:rsidTr="00757720">
        <w:tc>
          <w:tcPr>
            <w:tcW w:w="9360" w:type="dxa"/>
          </w:tcPr>
          <w:p w14:paraId="3F744F93" w14:textId="77777777" w:rsidR="00B34966" w:rsidRDefault="00B73BC1" w:rsidP="00B34966">
            <w:pPr>
              <w:jc w:val="both"/>
              <w:rPr>
                <w:b/>
                <w:u w:val="single"/>
              </w:rPr>
            </w:pPr>
            <w:r>
              <w:rPr>
                <w:b/>
                <w:u w:val="single"/>
              </w:rPr>
              <w:t>COMPARISON OF INTRODUCED AND SUBSTITUTE</w:t>
            </w:r>
          </w:p>
          <w:p w14:paraId="1706C578" w14:textId="77777777" w:rsidR="00F44F04" w:rsidRDefault="00F44F04" w:rsidP="00B34966">
            <w:pPr>
              <w:jc w:val="both"/>
              <w:rPr>
                <w:b/>
                <w:u w:val="single"/>
              </w:rPr>
            </w:pPr>
          </w:p>
          <w:p w14:paraId="79D24A68" w14:textId="77777777" w:rsidR="00653602" w:rsidRDefault="00B73BC1" w:rsidP="00653602">
            <w:pPr>
              <w:jc w:val="both"/>
            </w:pPr>
            <w:r>
              <w:t xml:space="preserve">While C.S.H.B. 1647 may </w:t>
            </w:r>
            <w:r>
              <w:t>differ from the introduced in minor or nonsubstantive ways, the following summarizes the substantial differences between the introduced and committee substitute versions of the bill.</w:t>
            </w:r>
          </w:p>
          <w:p w14:paraId="137D725E" w14:textId="77777777" w:rsidR="00653602" w:rsidRDefault="00653602" w:rsidP="00653602">
            <w:pPr>
              <w:jc w:val="both"/>
            </w:pPr>
          </w:p>
          <w:p w14:paraId="4E9939EB" w14:textId="77777777" w:rsidR="00653602" w:rsidRDefault="00B73BC1" w:rsidP="00653602">
            <w:pPr>
              <w:jc w:val="both"/>
            </w:pPr>
            <w:r>
              <w:t>The substitute revises the definition for "</w:t>
            </w:r>
            <w:r w:rsidRPr="00C1331E">
              <w:t>clinician-administered drug</w:t>
            </w:r>
            <w:r>
              <w:t xml:space="preserve">" </w:t>
            </w:r>
            <w:r>
              <w:t xml:space="preserve">in the introduced by removing that the drug is typically administered in a </w:t>
            </w:r>
            <w:r w:rsidRPr="00C1331E">
              <w:t>hospital outpatient infusion center or other clinical setting.</w:t>
            </w:r>
          </w:p>
          <w:p w14:paraId="674FC7EE" w14:textId="77777777" w:rsidR="00653602" w:rsidRDefault="00653602" w:rsidP="00653602">
            <w:pPr>
              <w:jc w:val="both"/>
            </w:pPr>
          </w:p>
          <w:p w14:paraId="7AB5F450" w14:textId="77777777" w:rsidR="00653602" w:rsidRDefault="00B73BC1" w:rsidP="00653602">
            <w:pPr>
              <w:jc w:val="both"/>
            </w:pPr>
            <w:r>
              <w:t xml:space="preserve">Both the introduced and the substitute prohibit certain limitations on the coverage of clinician-administered drugs. </w:t>
            </w:r>
            <w:r>
              <w:t>The introduced prohibited a</w:t>
            </w:r>
            <w:r w:rsidRPr="00A37524">
              <w:t xml:space="preserve"> health benefit plan issuer</w:t>
            </w:r>
            <w:r>
              <w:t xml:space="preserve">, for an enrollee with a chronic, complex, rare, or life-threatening medical condition, from reimbursing a </w:t>
            </w:r>
            <w:r w:rsidRPr="00A37524">
              <w:t>clinician-administered drug</w:t>
            </w:r>
            <w:r>
              <w:t xml:space="preserve"> at a lower amount based on an enrollee's choice of pharmacy or the </w:t>
            </w:r>
            <w:r>
              <w:t xml:space="preserve">pharmacy's participation in the plan issuer's network. The substitute does not include this prohibition and instead prohibits a plan issuer, for such an enrollee, from </w:t>
            </w:r>
            <w:r w:rsidRPr="00EF32E1">
              <w:t>requir</w:t>
            </w:r>
            <w:r>
              <w:t>ing</w:t>
            </w:r>
            <w:r w:rsidRPr="00EF32E1">
              <w:t xml:space="preserve"> a physician or health care provider participating in the issuer's network to b</w:t>
            </w:r>
            <w:r w:rsidRPr="00EF32E1">
              <w:t xml:space="preserve">ill for or be reimbursed for the delivery and administration of </w:t>
            </w:r>
            <w:r>
              <w:t>such</w:t>
            </w:r>
            <w:r w:rsidRPr="00EF32E1">
              <w:t xml:space="preserve"> drugs under the pharmacy benefit instead of the medical benefit without</w:t>
            </w:r>
            <w:r>
              <w:t xml:space="preserve"> the patient's informed written consent and the physician's or provider's written attestation that a delay in the dr</w:t>
            </w:r>
            <w:r>
              <w:t xml:space="preserve">ug's administration will not place the patient at an increased health risk. </w:t>
            </w:r>
          </w:p>
          <w:p w14:paraId="316A8EC2" w14:textId="77777777" w:rsidR="00653602" w:rsidRDefault="00653602" w:rsidP="00653602">
            <w:pPr>
              <w:jc w:val="both"/>
            </w:pPr>
          </w:p>
          <w:p w14:paraId="5FF37F51" w14:textId="77777777" w:rsidR="00653602" w:rsidRDefault="00B73BC1" w:rsidP="00653602">
            <w:pPr>
              <w:jc w:val="both"/>
            </w:pPr>
            <w:r>
              <w:t>The substitute includes a provision absent from the introduced that clarifies the prohibitions against certain limitations on the coverage of clinician-administered drugs apply o</w:t>
            </w:r>
            <w:r>
              <w:t xml:space="preserve">nly under certain conditions relating to negative outcomes for patient care. </w:t>
            </w:r>
          </w:p>
          <w:p w14:paraId="1B683446" w14:textId="77777777" w:rsidR="00653602" w:rsidRDefault="00653602" w:rsidP="00653602">
            <w:pPr>
              <w:jc w:val="both"/>
            </w:pPr>
          </w:p>
          <w:p w14:paraId="311710B9" w14:textId="07AA1FD9" w:rsidR="00653602" w:rsidRPr="00B34966" w:rsidRDefault="00B73BC1" w:rsidP="00653602">
            <w:pPr>
              <w:jc w:val="both"/>
              <w:rPr>
                <w:b/>
                <w:u w:val="single"/>
              </w:rPr>
            </w:pPr>
            <w:r>
              <w:t>The substitute revises the provisions in the introduced specifying the sources of coverage to which the bill's provisions apply, and establishing exceptions to that applicabilit</w:t>
            </w:r>
            <w:r>
              <w:t xml:space="preserve">y, by removing </w:t>
            </w:r>
            <w:r w:rsidRPr="00F379BA">
              <w:t>health benefits provided by or through a church benefits board</w:t>
            </w:r>
            <w:r>
              <w:t xml:space="preserve"> among the sources to which the bill's provisions apply and by including </w:t>
            </w:r>
            <w:r w:rsidRPr="00F379BA">
              <w:t>a prescription drug administered in a hospital, hospital facility-based practice setting, or hospital outp</w:t>
            </w:r>
            <w:r w:rsidRPr="00F379BA">
              <w:t>atient infusion center</w:t>
            </w:r>
            <w:r>
              <w:t xml:space="preserve"> among the sources excepted from the bill's provisions.</w:t>
            </w:r>
          </w:p>
        </w:tc>
      </w:tr>
      <w:tr w:rsidR="00354BB6" w14:paraId="6FE2C186" w14:textId="77777777" w:rsidTr="00757720">
        <w:tc>
          <w:tcPr>
            <w:tcW w:w="9360" w:type="dxa"/>
          </w:tcPr>
          <w:p w14:paraId="5CF2F661" w14:textId="77777777" w:rsidR="00B34966" w:rsidRDefault="00B34966" w:rsidP="00757720">
            <w:pPr>
              <w:jc w:val="both"/>
              <w:rPr>
                <w:b/>
                <w:u w:val="single"/>
              </w:rPr>
            </w:pPr>
          </w:p>
        </w:tc>
      </w:tr>
      <w:tr w:rsidR="00354BB6" w14:paraId="53B88235" w14:textId="77777777" w:rsidTr="00757720">
        <w:tc>
          <w:tcPr>
            <w:tcW w:w="9360" w:type="dxa"/>
          </w:tcPr>
          <w:p w14:paraId="1EFC64EC" w14:textId="77777777" w:rsidR="00B34966" w:rsidRPr="00B34966" w:rsidRDefault="00B34966" w:rsidP="00B34966">
            <w:pPr>
              <w:spacing w:line="480" w:lineRule="auto"/>
              <w:jc w:val="both"/>
            </w:pPr>
          </w:p>
        </w:tc>
      </w:tr>
      <w:tr w:rsidR="00354BB6" w14:paraId="46C6900E" w14:textId="77777777" w:rsidTr="00757720">
        <w:tc>
          <w:tcPr>
            <w:tcW w:w="9360" w:type="dxa"/>
          </w:tcPr>
          <w:p w14:paraId="3CB354BC" w14:textId="77777777" w:rsidR="00B34966" w:rsidRDefault="00B34966" w:rsidP="00757720">
            <w:pPr>
              <w:jc w:val="both"/>
              <w:rPr>
                <w:b/>
                <w:u w:val="single"/>
              </w:rPr>
            </w:pPr>
          </w:p>
        </w:tc>
      </w:tr>
    </w:tbl>
    <w:p w14:paraId="5D919AAD" w14:textId="77777777" w:rsidR="008423E4" w:rsidRPr="00BE0E75" w:rsidRDefault="008423E4" w:rsidP="00757720">
      <w:pPr>
        <w:jc w:val="both"/>
        <w:rPr>
          <w:rFonts w:ascii="Arial" w:hAnsi="Arial"/>
          <w:sz w:val="16"/>
          <w:szCs w:val="16"/>
        </w:rPr>
      </w:pPr>
    </w:p>
    <w:p w14:paraId="35E7D5FC" w14:textId="77777777" w:rsidR="004108C3" w:rsidRPr="00757720" w:rsidRDefault="004108C3" w:rsidP="00757720">
      <w:pPr>
        <w:rPr>
          <w:sz w:val="2"/>
          <w:szCs w:val="2"/>
        </w:rPr>
      </w:pPr>
    </w:p>
    <w:sectPr w:rsidR="004108C3" w:rsidRPr="00757720"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56B9" w14:textId="77777777" w:rsidR="00000000" w:rsidRDefault="00B73BC1">
      <w:r>
        <w:separator/>
      </w:r>
    </w:p>
  </w:endnote>
  <w:endnote w:type="continuationSeparator" w:id="0">
    <w:p w14:paraId="12C1911B" w14:textId="77777777" w:rsidR="00000000" w:rsidRDefault="00B7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E9C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54BB6" w14:paraId="165DE254" w14:textId="77777777" w:rsidTr="009C1E9A">
      <w:trPr>
        <w:cantSplit/>
      </w:trPr>
      <w:tc>
        <w:tcPr>
          <w:tcW w:w="0" w:type="pct"/>
        </w:tcPr>
        <w:p w14:paraId="02B43BD4" w14:textId="77777777" w:rsidR="00137D90" w:rsidRDefault="00137D90" w:rsidP="009C1E9A">
          <w:pPr>
            <w:pStyle w:val="Footer"/>
            <w:tabs>
              <w:tab w:val="clear" w:pos="8640"/>
              <w:tab w:val="right" w:pos="9360"/>
            </w:tabs>
          </w:pPr>
        </w:p>
      </w:tc>
      <w:tc>
        <w:tcPr>
          <w:tcW w:w="2395" w:type="pct"/>
        </w:tcPr>
        <w:p w14:paraId="5767E1DF" w14:textId="77777777" w:rsidR="00137D90" w:rsidRDefault="00137D90" w:rsidP="009C1E9A">
          <w:pPr>
            <w:pStyle w:val="Footer"/>
            <w:tabs>
              <w:tab w:val="clear" w:pos="8640"/>
              <w:tab w:val="right" w:pos="9360"/>
            </w:tabs>
          </w:pPr>
        </w:p>
        <w:p w14:paraId="47510826" w14:textId="77777777" w:rsidR="001A4310" w:rsidRDefault="001A4310" w:rsidP="009C1E9A">
          <w:pPr>
            <w:pStyle w:val="Footer"/>
            <w:tabs>
              <w:tab w:val="clear" w:pos="8640"/>
              <w:tab w:val="right" w:pos="9360"/>
            </w:tabs>
          </w:pPr>
        </w:p>
        <w:p w14:paraId="0AB26603" w14:textId="77777777" w:rsidR="00137D90" w:rsidRDefault="00137D90" w:rsidP="009C1E9A">
          <w:pPr>
            <w:pStyle w:val="Footer"/>
            <w:tabs>
              <w:tab w:val="clear" w:pos="8640"/>
              <w:tab w:val="right" w:pos="9360"/>
            </w:tabs>
          </w:pPr>
        </w:p>
      </w:tc>
      <w:tc>
        <w:tcPr>
          <w:tcW w:w="2453" w:type="pct"/>
        </w:tcPr>
        <w:p w14:paraId="79002A26" w14:textId="77777777" w:rsidR="00137D90" w:rsidRDefault="00137D90" w:rsidP="009C1E9A">
          <w:pPr>
            <w:pStyle w:val="Footer"/>
            <w:tabs>
              <w:tab w:val="clear" w:pos="8640"/>
              <w:tab w:val="right" w:pos="9360"/>
            </w:tabs>
            <w:jc w:val="right"/>
          </w:pPr>
        </w:p>
      </w:tc>
    </w:tr>
    <w:tr w:rsidR="00354BB6" w14:paraId="487B1773" w14:textId="77777777" w:rsidTr="009C1E9A">
      <w:trPr>
        <w:cantSplit/>
      </w:trPr>
      <w:tc>
        <w:tcPr>
          <w:tcW w:w="0" w:type="pct"/>
        </w:tcPr>
        <w:p w14:paraId="2AC060FF" w14:textId="77777777" w:rsidR="00EC379B" w:rsidRDefault="00EC379B" w:rsidP="009C1E9A">
          <w:pPr>
            <w:pStyle w:val="Footer"/>
            <w:tabs>
              <w:tab w:val="clear" w:pos="8640"/>
              <w:tab w:val="right" w:pos="9360"/>
            </w:tabs>
          </w:pPr>
        </w:p>
      </w:tc>
      <w:tc>
        <w:tcPr>
          <w:tcW w:w="2395" w:type="pct"/>
        </w:tcPr>
        <w:p w14:paraId="3155DE1F" w14:textId="7F8019A2" w:rsidR="00EC379B" w:rsidRPr="009C1E9A" w:rsidRDefault="00B73BC1" w:rsidP="009C1E9A">
          <w:pPr>
            <w:pStyle w:val="Footer"/>
            <w:tabs>
              <w:tab w:val="clear" w:pos="8640"/>
              <w:tab w:val="right" w:pos="9360"/>
            </w:tabs>
            <w:rPr>
              <w:rFonts w:ascii="Shruti" w:hAnsi="Shruti"/>
              <w:sz w:val="22"/>
            </w:rPr>
          </w:pPr>
          <w:r>
            <w:rPr>
              <w:rFonts w:ascii="Shruti" w:hAnsi="Shruti"/>
              <w:sz w:val="22"/>
            </w:rPr>
            <w:t>88R 23337-D</w:t>
          </w:r>
        </w:p>
      </w:tc>
      <w:tc>
        <w:tcPr>
          <w:tcW w:w="2453" w:type="pct"/>
        </w:tcPr>
        <w:p w14:paraId="463709AD" w14:textId="4D4C33DB" w:rsidR="00EC379B" w:rsidRDefault="00B73BC1" w:rsidP="009C1E9A">
          <w:pPr>
            <w:pStyle w:val="Footer"/>
            <w:tabs>
              <w:tab w:val="clear" w:pos="8640"/>
              <w:tab w:val="right" w:pos="9360"/>
            </w:tabs>
            <w:jc w:val="right"/>
          </w:pPr>
          <w:r>
            <w:fldChar w:fldCharType="begin"/>
          </w:r>
          <w:r>
            <w:instrText xml:space="preserve"> DOCPROPERTY  OTID  \* MERGEFORMAT </w:instrText>
          </w:r>
          <w:r>
            <w:fldChar w:fldCharType="separate"/>
          </w:r>
          <w:r w:rsidR="006A5228">
            <w:t>23.102.908</w:t>
          </w:r>
          <w:r>
            <w:fldChar w:fldCharType="end"/>
          </w:r>
        </w:p>
      </w:tc>
    </w:tr>
    <w:tr w:rsidR="00354BB6" w14:paraId="5C320F40" w14:textId="77777777" w:rsidTr="009C1E9A">
      <w:trPr>
        <w:cantSplit/>
      </w:trPr>
      <w:tc>
        <w:tcPr>
          <w:tcW w:w="0" w:type="pct"/>
        </w:tcPr>
        <w:p w14:paraId="353F7C4E" w14:textId="77777777" w:rsidR="00EC379B" w:rsidRDefault="00EC379B" w:rsidP="009C1E9A">
          <w:pPr>
            <w:pStyle w:val="Footer"/>
            <w:tabs>
              <w:tab w:val="clear" w:pos="4320"/>
              <w:tab w:val="clear" w:pos="8640"/>
              <w:tab w:val="left" w:pos="2865"/>
            </w:tabs>
          </w:pPr>
        </w:p>
      </w:tc>
      <w:tc>
        <w:tcPr>
          <w:tcW w:w="2395" w:type="pct"/>
        </w:tcPr>
        <w:p w14:paraId="5F909AE5" w14:textId="0D9A0BC7" w:rsidR="00EC379B" w:rsidRPr="009C1E9A" w:rsidRDefault="00B73BC1" w:rsidP="009C1E9A">
          <w:pPr>
            <w:pStyle w:val="Footer"/>
            <w:tabs>
              <w:tab w:val="clear" w:pos="4320"/>
              <w:tab w:val="clear" w:pos="8640"/>
              <w:tab w:val="left" w:pos="2865"/>
            </w:tabs>
            <w:rPr>
              <w:rFonts w:ascii="Shruti" w:hAnsi="Shruti"/>
              <w:sz w:val="22"/>
            </w:rPr>
          </w:pPr>
          <w:r>
            <w:rPr>
              <w:rFonts w:ascii="Shruti" w:hAnsi="Shruti"/>
              <w:sz w:val="22"/>
            </w:rPr>
            <w:t>Substitute Document Number: 88R 20175</w:t>
          </w:r>
        </w:p>
      </w:tc>
      <w:tc>
        <w:tcPr>
          <w:tcW w:w="2453" w:type="pct"/>
        </w:tcPr>
        <w:p w14:paraId="499325DF" w14:textId="77777777" w:rsidR="00EC379B" w:rsidRDefault="00EC379B" w:rsidP="006D504F">
          <w:pPr>
            <w:pStyle w:val="Footer"/>
            <w:rPr>
              <w:rStyle w:val="PageNumber"/>
            </w:rPr>
          </w:pPr>
        </w:p>
        <w:p w14:paraId="2D20BE52" w14:textId="77777777" w:rsidR="00EC379B" w:rsidRDefault="00EC379B" w:rsidP="009C1E9A">
          <w:pPr>
            <w:pStyle w:val="Footer"/>
            <w:tabs>
              <w:tab w:val="clear" w:pos="8640"/>
              <w:tab w:val="right" w:pos="9360"/>
            </w:tabs>
            <w:jc w:val="right"/>
          </w:pPr>
        </w:p>
      </w:tc>
    </w:tr>
    <w:tr w:rsidR="00354BB6" w14:paraId="26728C5F" w14:textId="77777777" w:rsidTr="009C1E9A">
      <w:trPr>
        <w:cantSplit/>
        <w:trHeight w:val="323"/>
      </w:trPr>
      <w:tc>
        <w:tcPr>
          <w:tcW w:w="0" w:type="pct"/>
          <w:gridSpan w:val="3"/>
        </w:tcPr>
        <w:p w14:paraId="078004B0" w14:textId="77777777" w:rsidR="00EC379B" w:rsidRDefault="00B73BC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5407FC5" w14:textId="77777777" w:rsidR="00EC379B" w:rsidRDefault="00EC379B" w:rsidP="009C1E9A">
          <w:pPr>
            <w:pStyle w:val="Footer"/>
            <w:tabs>
              <w:tab w:val="clear" w:pos="8640"/>
              <w:tab w:val="right" w:pos="9360"/>
            </w:tabs>
            <w:jc w:val="center"/>
          </w:pPr>
        </w:p>
      </w:tc>
    </w:tr>
  </w:tbl>
  <w:p w14:paraId="137FF041"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D1D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102E" w14:textId="77777777" w:rsidR="00000000" w:rsidRDefault="00B73BC1">
      <w:r>
        <w:separator/>
      </w:r>
    </w:p>
  </w:footnote>
  <w:footnote w:type="continuationSeparator" w:id="0">
    <w:p w14:paraId="381EE48A" w14:textId="77777777" w:rsidR="00000000" w:rsidRDefault="00B73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699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3992"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B29A"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700B5"/>
    <w:multiLevelType w:val="hybridMultilevel"/>
    <w:tmpl w:val="B61CD9F6"/>
    <w:lvl w:ilvl="0" w:tplc="5E0C5474">
      <w:start w:val="1"/>
      <w:numFmt w:val="bullet"/>
      <w:lvlText w:val=""/>
      <w:lvlJc w:val="left"/>
      <w:pPr>
        <w:tabs>
          <w:tab w:val="num" w:pos="720"/>
        </w:tabs>
        <w:ind w:left="720" w:hanging="360"/>
      </w:pPr>
      <w:rPr>
        <w:rFonts w:ascii="Symbol" w:hAnsi="Symbol" w:hint="default"/>
      </w:rPr>
    </w:lvl>
    <w:lvl w:ilvl="1" w:tplc="441AF6C8" w:tentative="1">
      <w:start w:val="1"/>
      <w:numFmt w:val="bullet"/>
      <w:lvlText w:val="o"/>
      <w:lvlJc w:val="left"/>
      <w:pPr>
        <w:ind w:left="1440" w:hanging="360"/>
      </w:pPr>
      <w:rPr>
        <w:rFonts w:ascii="Courier New" w:hAnsi="Courier New" w:cs="Courier New" w:hint="default"/>
      </w:rPr>
    </w:lvl>
    <w:lvl w:ilvl="2" w:tplc="0F56A756" w:tentative="1">
      <w:start w:val="1"/>
      <w:numFmt w:val="bullet"/>
      <w:lvlText w:val=""/>
      <w:lvlJc w:val="left"/>
      <w:pPr>
        <w:ind w:left="2160" w:hanging="360"/>
      </w:pPr>
      <w:rPr>
        <w:rFonts w:ascii="Wingdings" w:hAnsi="Wingdings" w:hint="default"/>
      </w:rPr>
    </w:lvl>
    <w:lvl w:ilvl="3" w:tplc="3520905A" w:tentative="1">
      <w:start w:val="1"/>
      <w:numFmt w:val="bullet"/>
      <w:lvlText w:val=""/>
      <w:lvlJc w:val="left"/>
      <w:pPr>
        <w:ind w:left="2880" w:hanging="360"/>
      </w:pPr>
      <w:rPr>
        <w:rFonts w:ascii="Symbol" w:hAnsi="Symbol" w:hint="default"/>
      </w:rPr>
    </w:lvl>
    <w:lvl w:ilvl="4" w:tplc="6478CCBE" w:tentative="1">
      <w:start w:val="1"/>
      <w:numFmt w:val="bullet"/>
      <w:lvlText w:val="o"/>
      <w:lvlJc w:val="left"/>
      <w:pPr>
        <w:ind w:left="3600" w:hanging="360"/>
      </w:pPr>
      <w:rPr>
        <w:rFonts w:ascii="Courier New" w:hAnsi="Courier New" w:cs="Courier New" w:hint="default"/>
      </w:rPr>
    </w:lvl>
    <w:lvl w:ilvl="5" w:tplc="2AB85880" w:tentative="1">
      <w:start w:val="1"/>
      <w:numFmt w:val="bullet"/>
      <w:lvlText w:val=""/>
      <w:lvlJc w:val="left"/>
      <w:pPr>
        <w:ind w:left="4320" w:hanging="360"/>
      </w:pPr>
      <w:rPr>
        <w:rFonts w:ascii="Wingdings" w:hAnsi="Wingdings" w:hint="default"/>
      </w:rPr>
    </w:lvl>
    <w:lvl w:ilvl="6" w:tplc="A6967120" w:tentative="1">
      <w:start w:val="1"/>
      <w:numFmt w:val="bullet"/>
      <w:lvlText w:val=""/>
      <w:lvlJc w:val="left"/>
      <w:pPr>
        <w:ind w:left="5040" w:hanging="360"/>
      </w:pPr>
      <w:rPr>
        <w:rFonts w:ascii="Symbol" w:hAnsi="Symbol" w:hint="default"/>
      </w:rPr>
    </w:lvl>
    <w:lvl w:ilvl="7" w:tplc="5A586A30" w:tentative="1">
      <w:start w:val="1"/>
      <w:numFmt w:val="bullet"/>
      <w:lvlText w:val="o"/>
      <w:lvlJc w:val="left"/>
      <w:pPr>
        <w:ind w:left="5760" w:hanging="360"/>
      </w:pPr>
      <w:rPr>
        <w:rFonts w:ascii="Courier New" w:hAnsi="Courier New" w:cs="Courier New" w:hint="default"/>
      </w:rPr>
    </w:lvl>
    <w:lvl w:ilvl="8" w:tplc="21B0B2B8" w:tentative="1">
      <w:start w:val="1"/>
      <w:numFmt w:val="bullet"/>
      <w:lvlText w:val=""/>
      <w:lvlJc w:val="left"/>
      <w:pPr>
        <w:ind w:left="6480" w:hanging="360"/>
      </w:pPr>
      <w:rPr>
        <w:rFonts w:ascii="Wingdings" w:hAnsi="Wingdings" w:hint="default"/>
      </w:rPr>
    </w:lvl>
  </w:abstractNum>
  <w:abstractNum w:abstractNumId="1" w15:restartNumberingAfterBreak="0">
    <w:nsid w:val="79840F34"/>
    <w:multiLevelType w:val="hybridMultilevel"/>
    <w:tmpl w:val="FDD23014"/>
    <w:lvl w:ilvl="0" w:tplc="1B889A6A">
      <w:start w:val="1"/>
      <w:numFmt w:val="bullet"/>
      <w:lvlText w:val=""/>
      <w:lvlJc w:val="left"/>
      <w:pPr>
        <w:tabs>
          <w:tab w:val="num" w:pos="720"/>
        </w:tabs>
        <w:ind w:left="720" w:hanging="360"/>
      </w:pPr>
      <w:rPr>
        <w:rFonts w:ascii="Symbol" w:hAnsi="Symbol" w:hint="default"/>
      </w:rPr>
    </w:lvl>
    <w:lvl w:ilvl="1" w:tplc="77403AAE">
      <w:start w:val="1"/>
      <w:numFmt w:val="bullet"/>
      <w:lvlText w:val="o"/>
      <w:lvlJc w:val="left"/>
      <w:pPr>
        <w:ind w:left="1440" w:hanging="360"/>
      </w:pPr>
      <w:rPr>
        <w:rFonts w:ascii="Courier New" w:hAnsi="Courier New" w:cs="Courier New" w:hint="default"/>
      </w:rPr>
    </w:lvl>
    <w:lvl w:ilvl="2" w:tplc="7B2239B0" w:tentative="1">
      <w:start w:val="1"/>
      <w:numFmt w:val="bullet"/>
      <w:lvlText w:val=""/>
      <w:lvlJc w:val="left"/>
      <w:pPr>
        <w:ind w:left="2160" w:hanging="360"/>
      </w:pPr>
      <w:rPr>
        <w:rFonts w:ascii="Wingdings" w:hAnsi="Wingdings" w:hint="default"/>
      </w:rPr>
    </w:lvl>
    <w:lvl w:ilvl="3" w:tplc="7D3494FC" w:tentative="1">
      <w:start w:val="1"/>
      <w:numFmt w:val="bullet"/>
      <w:lvlText w:val=""/>
      <w:lvlJc w:val="left"/>
      <w:pPr>
        <w:ind w:left="2880" w:hanging="360"/>
      </w:pPr>
      <w:rPr>
        <w:rFonts w:ascii="Symbol" w:hAnsi="Symbol" w:hint="default"/>
      </w:rPr>
    </w:lvl>
    <w:lvl w:ilvl="4" w:tplc="163C68F6" w:tentative="1">
      <w:start w:val="1"/>
      <w:numFmt w:val="bullet"/>
      <w:lvlText w:val="o"/>
      <w:lvlJc w:val="left"/>
      <w:pPr>
        <w:ind w:left="3600" w:hanging="360"/>
      </w:pPr>
      <w:rPr>
        <w:rFonts w:ascii="Courier New" w:hAnsi="Courier New" w:cs="Courier New" w:hint="default"/>
      </w:rPr>
    </w:lvl>
    <w:lvl w:ilvl="5" w:tplc="36A0078E" w:tentative="1">
      <w:start w:val="1"/>
      <w:numFmt w:val="bullet"/>
      <w:lvlText w:val=""/>
      <w:lvlJc w:val="left"/>
      <w:pPr>
        <w:ind w:left="4320" w:hanging="360"/>
      </w:pPr>
      <w:rPr>
        <w:rFonts w:ascii="Wingdings" w:hAnsi="Wingdings" w:hint="default"/>
      </w:rPr>
    </w:lvl>
    <w:lvl w:ilvl="6" w:tplc="0B5C4754" w:tentative="1">
      <w:start w:val="1"/>
      <w:numFmt w:val="bullet"/>
      <w:lvlText w:val=""/>
      <w:lvlJc w:val="left"/>
      <w:pPr>
        <w:ind w:left="5040" w:hanging="360"/>
      </w:pPr>
      <w:rPr>
        <w:rFonts w:ascii="Symbol" w:hAnsi="Symbol" w:hint="default"/>
      </w:rPr>
    </w:lvl>
    <w:lvl w:ilvl="7" w:tplc="E8E67AAE" w:tentative="1">
      <w:start w:val="1"/>
      <w:numFmt w:val="bullet"/>
      <w:lvlText w:val="o"/>
      <w:lvlJc w:val="left"/>
      <w:pPr>
        <w:ind w:left="5760" w:hanging="360"/>
      </w:pPr>
      <w:rPr>
        <w:rFonts w:ascii="Courier New" w:hAnsi="Courier New" w:cs="Courier New" w:hint="default"/>
      </w:rPr>
    </w:lvl>
    <w:lvl w:ilvl="8" w:tplc="C0E82D16" w:tentative="1">
      <w:start w:val="1"/>
      <w:numFmt w:val="bullet"/>
      <w:lvlText w:val=""/>
      <w:lvlJc w:val="left"/>
      <w:pPr>
        <w:ind w:left="6480" w:hanging="360"/>
      </w:pPr>
      <w:rPr>
        <w:rFonts w:ascii="Wingdings" w:hAnsi="Wingdings" w:hint="default"/>
      </w:rPr>
    </w:lvl>
  </w:abstractNum>
  <w:num w:numId="1" w16cid:durableId="815532276">
    <w:abstractNumId w:val="1"/>
  </w:num>
  <w:num w:numId="2" w16cid:durableId="1587961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74"/>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465"/>
    <w:rsid w:val="000555E0"/>
    <w:rsid w:val="00055C12"/>
    <w:rsid w:val="000608B0"/>
    <w:rsid w:val="0006104C"/>
    <w:rsid w:val="00064BF2"/>
    <w:rsid w:val="000667BA"/>
    <w:rsid w:val="000676A7"/>
    <w:rsid w:val="00073914"/>
    <w:rsid w:val="00074236"/>
    <w:rsid w:val="000746BD"/>
    <w:rsid w:val="00076D7D"/>
    <w:rsid w:val="00080BBC"/>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2AE0"/>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0E98"/>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A6B16"/>
    <w:rsid w:val="001B053A"/>
    <w:rsid w:val="001B26D8"/>
    <w:rsid w:val="001B3BFA"/>
    <w:rsid w:val="001B75B8"/>
    <w:rsid w:val="001C1230"/>
    <w:rsid w:val="001C3AAF"/>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51DC"/>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4EE0"/>
    <w:rsid w:val="00347B4A"/>
    <w:rsid w:val="003500C3"/>
    <w:rsid w:val="003523BD"/>
    <w:rsid w:val="00352681"/>
    <w:rsid w:val="003536AA"/>
    <w:rsid w:val="003544CE"/>
    <w:rsid w:val="00354BB6"/>
    <w:rsid w:val="00355A98"/>
    <w:rsid w:val="00355D7E"/>
    <w:rsid w:val="003568DE"/>
    <w:rsid w:val="0035772F"/>
    <w:rsid w:val="00357CA1"/>
    <w:rsid w:val="00361FE9"/>
    <w:rsid w:val="003624F2"/>
    <w:rsid w:val="00363854"/>
    <w:rsid w:val="00364315"/>
    <w:rsid w:val="003643E2"/>
    <w:rsid w:val="00365843"/>
    <w:rsid w:val="00370155"/>
    <w:rsid w:val="003712D5"/>
    <w:rsid w:val="003747DF"/>
    <w:rsid w:val="00377E3D"/>
    <w:rsid w:val="003847E8"/>
    <w:rsid w:val="0038731D"/>
    <w:rsid w:val="00387B60"/>
    <w:rsid w:val="00390098"/>
    <w:rsid w:val="00392DA1"/>
    <w:rsid w:val="00393718"/>
    <w:rsid w:val="00395C89"/>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806"/>
    <w:rsid w:val="00475913"/>
    <w:rsid w:val="00480080"/>
    <w:rsid w:val="004805F2"/>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6F59"/>
    <w:rsid w:val="00573401"/>
    <w:rsid w:val="00576188"/>
    <w:rsid w:val="00576714"/>
    <w:rsid w:val="0057685A"/>
    <w:rsid w:val="00582E66"/>
    <w:rsid w:val="005832EE"/>
    <w:rsid w:val="005847EF"/>
    <w:rsid w:val="005851E6"/>
    <w:rsid w:val="005878B7"/>
    <w:rsid w:val="00592C9A"/>
    <w:rsid w:val="00593DF8"/>
    <w:rsid w:val="00595745"/>
    <w:rsid w:val="005A0E18"/>
    <w:rsid w:val="005A12A5"/>
    <w:rsid w:val="005A24A8"/>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3E80"/>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6EB9"/>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53602"/>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29D4"/>
    <w:rsid w:val="00693AFA"/>
    <w:rsid w:val="00695101"/>
    <w:rsid w:val="00695B9A"/>
    <w:rsid w:val="00696563"/>
    <w:rsid w:val="006979F8"/>
    <w:rsid w:val="006A2119"/>
    <w:rsid w:val="006A3487"/>
    <w:rsid w:val="006A5228"/>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0A18"/>
    <w:rsid w:val="006C4709"/>
    <w:rsid w:val="006D3005"/>
    <w:rsid w:val="006D504F"/>
    <w:rsid w:val="006D50F8"/>
    <w:rsid w:val="006E0CAC"/>
    <w:rsid w:val="006E1CFB"/>
    <w:rsid w:val="006E1F94"/>
    <w:rsid w:val="006E26C1"/>
    <w:rsid w:val="006E30A8"/>
    <w:rsid w:val="006E45B0"/>
    <w:rsid w:val="006E5692"/>
    <w:rsid w:val="006F1B3A"/>
    <w:rsid w:val="006F365D"/>
    <w:rsid w:val="006F4BB0"/>
    <w:rsid w:val="006F6C73"/>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57720"/>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0E7C"/>
    <w:rsid w:val="007F3861"/>
    <w:rsid w:val="007F4162"/>
    <w:rsid w:val="007F5441"/>
    <w:rsid w:val="007F7668"/>
    <w:rsid w:val="00800C63"/>
    <w:rsid w:val="00802243"/>
    <w:rsid w:val="008023D4"/>
    <w:rsid w:val="00804124"/>
    <w:rsid w:val="00805402"/>
    <w:rsid w:val="0080765F"/>
    <w:rsid w:val="008110FF"/>
    <w:rsid w:val="00812BE3"/>
    <w:rsid w:val="00814516"/>
    <w:rsid w:val="00815C9D"/>
    <w:rsid w:val="008170E2"/>
    <w:rsid w:val="00823E4C"/>
    <w:rsid w:val="00827749"/>
    <w:rsid w:val="00827B7E"/>
    <w:rsid w:val="00830EEB"/>
    <w:rsid w:val="008342F5"/>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957"/>
    <w:rsid w:val="00897E80"/>
    <w:rsid w:val="008A04FA"/>
    <w:rsid w:val="008A3188"/>
    <w:rsid w:val="008A3FDF"/>
    <w:rsid w:val="008A6418"/>
    <w:rsid w:val="008B05D8"/>
    <w:rsid w:val="008B0B3D"/>
    <w:rsid w:val="008B198C"/>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218F"/>
    <w:rsid w:val="008F3053"/>
    <w:rsid w:val="008F3136"/>
    <w:rsid w:val="008F40DF"/>
    <w:rsid w:val="008F5E16"/>
    <w:rsid w:val="008F5EFC"/>
    <w:rsid w:val="00901670"/>
    <w:rsid w:val="00902212"/>
    <w:rsid w:val="00903E0A"/>
    <w:rsid w:val="00904721"/>
    <w:rsid w:val="00907780"/>
    <w:rsid w:val="00907EDD"/>
    <w:rsid w:val="009107AD"/>
    <w:rsid w:val="009120CC"/>
    <w:rsid w:val="00915568"/>
    <w:rsid w:val="00917E0C"/>
    <w:rsid w:val="00920711"/>
    <w:rsid w:val="00921A1E"/>
    <w:rsid w:val="00924EA9"/>
    <w:rsid w:val="00925CE1"/>
    <w:rsid w:val="00925F5C"/>
    <w:rsid w:val="00930897"/>
    <w:rsid w:val="009320D2"/>
    <w:rsid w:val="009329FB"/>
    <w:rsid w:val="00932C77"/>
    <w:rsid w:val="0093417F"/>
    <w:rsid w:val="00934AC2"/>
    <w:rsid w:val="009359E1"/>
    <w:rsid w:val="009375BB"/>
    <w:rsid w:val="009418E9"/>
    <w:rsid w:val="00946044"/>
    <w:rsid w:val="0094653B"/>
    <w:rsid w:val="009465AB"/>
    <w:rsid w:val="00946DEE"/>
    <w:rsid w:val="00947764"/>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0E5"/>
    <w:rsid w:val="0098285C"/>
    <w:rsid w:val="00983B56"/>
    <w:rsid w:val="009847FD"/>
    <w:rsid w:val="009851B3"/>
    <w:rsid w:val="00985300"/>
    <w:rsid w:val="00986720"/>
    <w:rsid w:val="00987F00"/>
    <w:rsid w:val="0099403D"/>
    <w:rsid w:val="00995B0B"/>
    <w:rsid w:val="0099771B"/>
    <w:rsid w:val="009A1883"/>
    <w:rsid w:val="009A39F5"/>
    <w:rsid w:val="009A4588"/>
    <w:rsid w:val="009A5A6A"/>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0F84"/>
    <w:rsid w:val="00A12330"/>
    <w:rsid w:val="00A1259F"/>
    <w:rsid w:val="00A1446F"/>
    <w:rsid w:val="00A151B5"/>
    <w:rsid w:val="00A220FF"/>
    <w:rsid w:val="00A227E0"/>
    <w:rsid w:val="00A232E4"/>
    <w:rsid w:val="00A24AAD"/>
    <w:rsid w:val="00A26A8A"/>
    <w:rsid w:val="00A27255"/>
    <w:rsid w:val="00A32304"/>
    <w:rsid w:val="00A3420E"/>
    <w:rsid w:val="00A35D66"/>
    <w:rsid w:val="00A37524"/>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548"/>
    <w:rsid w:val="00AA66AD"/>
    <w:rsid w:val="00AA67A3"/>
    <w:rsid w:val="00AA7E52"/>
    <w:rsid w:val="00AB1655"/>
    <w:rsid w:val="00AB1873"/>
    <w:rsid w:val="00AB1D7F"/>
    <w:rsid w:val="00AB2C05"/>
    <w:rsid w:val="00AB3536"/>
    <w:rsid w:val="00AB474B"/>
    <w:rsid w:val="00AB5CCC"/>
    <w:rsid w:val="00AB74E2"/>
    <w:rsid w:val="00AC2E9A"/>
    <w:rsid w:val="00AC5AAB"/>
    <w:rsid w:val="00AC5AEC"/>
    <w:rsid w:val="00AC5F28"/>
    <w:rsid w:val="00AC6900"/>
    <w:rsid w:val="00AC7FC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2A74"/>
    <w:rsid w:val="00B141E8"/>
    <w:rsid w:val="00B149AC"/>
    <w:rsid w:val="00B14BD2"/>
    <w:rsid w:val="00B1557F"/>
    <w:rsid w:val="00B1668D"/>
    <w:rsid w:val="00B16759"/>
    <w:rsid w:val="00B17981"/>
    <w:rsid w:val="00B233BB"/>
    <w:rsid w:val="00B25612"/>
    <w:rsid w:val="00B26437"/>
    <w:rsid w:val="00B2678E"/>
    <w:rsid w:val="00B30647"/>
    <w:rsid w:val="00B31F0E"/>
    <w:rsid w:val="00B34966"/>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73BC1"/>
    <w:rsid w:val="00B80532"/>
    <w:rsid w:val="00B82039"/>
    <w:rsid w:val="00B82454"/>
    <w:rsid w:val="00B90097"/>
    <w:rsid w:val="00B90999"/>
    <w:rsid w:val="00B91AD7"/>
    <w:rsid w:val="00B92D23"/>
    <w:rsid w:val="00B95BC8"/>
    <w:rsid w:val="00B95EBC"/>
    <w:rsid w:val="00B96E87"/>
    <w:rsid w:val="00BA146A"/>
    <w:rsid w:val="00BA2C52"/>
    <w:rsid w:val="00BA32EE"/>
    <w:rsid w:val="00BB5B36"/>
    <w:rsid w:val="00BC027B"/>
    <w:rsid w:val="00BC30A6"/>
    <w:rsid w:val="00BC3ED3"/>
    <w:rsid w:val="00BC3EF6"/>
    <w:rsid w:val="00BC452D"/>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775"/>
    <w:rsid w:val="00C05CF0"/>
    <w:rsid w:val="00C119AC"/>
    <w:rsid w:val="00C1331E"/>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17B4"/>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22C5"/>
    <w:rsid w:val="00D43C59"/>
    <w:rsid w:val="00D44ADE"/>
    <w:rsid w:val="00D50D65"/>
    <w:rsid w:val="00D512E0"/>
    <w:rsid w:val="00D519F3"/>
    <w:rsid w:val="00D51D2A"/>
    <w:rsid w:val="00D53B7C"/>
    <w:rsid w:val="00D55F52"/>
    <w:rsid w:val="00D56508"/>
    <w:rsid w:val="00D60E76"/>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51D"/>
    <w:rsid w:val="00D84870"/>
    <w:rsid w:val="00D858D0"/>
    <w:rsid w:val="00D91B92"/>
    <w:rsid w:val="00D926B3"/>
    <w:rsid w:val="00D92F63"/>
    <w:rsid w:val="00D947B6"/>
    <w:rsid w:val="00D94A53"/>
    <w:rsid w:val="00D95682"/>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0E02"/>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49"/>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1A7"/>
    <w:rsid w:val="00EE664B"/>
    <w:rsid w:val="00EF10BA"/>
    <w:rsid w:val="00EF1738"/>
    <w:rsid w:val="00EF2374"/>
    <w:rsid w:val="00EF2BAF"/>
    <w:rsid w:val="00EF32E1"/>
    <w:rsid w:val="00EF3B8F"/>
    <w:rsid w:val="00EF543E"/>
    <w:rsid w:val="00EF559F"/>
    <w:rsid w:val="00EF5AA2"/>
    <w:rsid w:val="00EF7E26"/>
    <w:rsid w:val="00F00775"/>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9BA"/>
    <w:rsid w:val="00F37EA8"/>
    <w:rsid w:val="00F40B14"/>
    <w:rsid w:val="00F41186"/>
    <w:rsid w:val="00F41EEF"/>
    <w:rsid w:val="00F41FAC"/>
    <w:rsid w:val="00F420C6"/>
    <w:rsid w:val="00F423D3"/>
    <w:rsid w:val="00F44349"/>
    <w:rsid w:val="00F44F04"/>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B52"/>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241A44-20AC-4631-A8F5-73CC7614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B12A74"/>
    <w:rPr>
      <w:sz w:val="16"/>
      <w:szCs w:val="16"/>
    </w:rPr>
  </w:style>
  <w:style w:type="paragraph" w:styleId="CommentText">
    <w:name w:val="annotation text"/>
    <w:basedOn w:val="Normal"/>
    <w:link w:val="CommentTextChar"/>
    <w:semiHidden/>
    <w:unhideWhenUsed/>
    <w:rsid w:val="00B12A74"/>
    <w:rPr>
      <w:sz w:val="20"/>
      <w:szCs w:val="20"/>
    </w:rPr>
  </w:style>
  <w:style w:type="character" w:customStyle="1" w:styleId="CommentTextChar">
    <w:name w:val="Comment Text Char"/>
    <w:basedOn w:val="DefaultParagraphFont"/>
    <w:link w:val="CommentText"/>
    <w:semiHidden/>
    <w:rsid w:val="00B12A74"/>
  </w:style>
  <w:style w:type="paragraph" w:styleId="CommentSubject">
    <w:name w:val="annotation subject"/>
    <w:basedOn w:val="CommentText"/>
    <w:next w:val="CommentText"/>
    <w:link w:val="CommentSubjectChar"/>
    <w:semiHidden/>
    <w:unhideWhenUsed/>
    <w:rsid w:val="00B12A74"/>
    <w:rPr>
      <w:b/>
      <w:bCs/>
    </w:rPr>
  </w:style>
  <w:style w:type="character" w:customStyle="1" w:styleId="CommentSubjectChar">
    <w:name w:val="Comment Subject Char"/>
    <w:basedOn w:val="CommentTextChar"/>
    <w:link w:val="CommentSubject"/>
    <w:semiHidden/>
    <w:rsid w:val="00B12A74"/>
    <w:rPr>
      <w:b/>
      <w:bCs/>
    </w:rPr>
  </w:style>
  <w:style w:type="paragraph" w:styleId="Revision">
    <w:name w:val="Revision"/>
    <w:hidden/>
    <w:uiPriority w:val="99"/>
    <w:semiHidden/>
    <w:rsid w:val="00616E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Words>
  <Characters>5482</Characters>
  <Application>Microsoft Office Word</Application>
  <DocSecurity>4</DocSecurity>
  <Lines>116</Lines>
  <Paragraphs>31</Paragraphs>
  <ScaleCrop>false</ScaleCrop>
  <HeadingPairs>
    <vt:vector size="2" baseType="variant">
      <vt:variant>
        <vt:lpstr>Title</vt:lpstr>
      </vt:variant>
      <vt:variant>
        <vt:i4>1</vt:i4>
      </vt:variant>
    </vt:vector>
  </HeadingPairs>
  <TitlesOfParts>
    <vt:vector size="1" baseType="lpstr">
      <vt:lpstr>BA - HB01647 (Committee Report (Substituted))</vt:lpstr>
    </vt:vector>
  </TitlesOfParts>
  <Company>State of Texas</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23337</dc:subject>
  <dc:creator>State of Texas</dc:creator>
  <dc:description>HB 1647 by Harris, Cody-(H)Insurance (Substitute Document Number: 88R 20175)</dc:description>
  <cp:lastModifiedBy>Damian Duarte</cp:lastModifiedBy>
  <cp:revision>2</cp:revision>
  <cp:lastPrinted>2003-11-26T17:21:00Z</cp:lastPrinted>
  <dcterms:created xsi:type="dcterms:W3CDTF">2023-04-14T23:11:00Z</dcterms:created>
  <dcterms:modified xsi:type="dcterms:W3CDTF">2023-04-14T23:11:00Z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23.102.908</vt:lpwstr>
  </property>
</Properties>
</file>