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C4E20" w14:paraId="09403F2B" w14:textId="77777777" w:rsidTr="00345119">
        <w:tc>
          <w:tcPr>
            <w:tcW w:w="9576" w:type="dxa"/>
            <w:noWrap/>
          </w:tcPr>
          <w:p w14:paraId="34A71793" w14:textId="77777777" w:rsidR="008423E4" w:rsidRPr="0022177D" w:rsidRDefault="00962A01" w:rsidP="0032248E">
            <w:pPr>
              <w:pStyle w:val="Heading1"/>
            </w:pPr>
            <w:r w:rsidRPr="00631897">
              <w:t>BILL ANALYSIS</w:t>
            </w:r>
          </w:p>
        </w:tc>
      </w:tr>
    </w:tbl>
    <w:p w14:paraId="00C40328" w14:textId="77777777" w:rsidR="008423E4" w:rsidRPr="0022177D" w:rsidRDefault="008423E4" w:rsidP="0032248E">
      <w:pPr>
        <w:jc w:val="center"/>
      </w:pPr>
    </w:p>
    <w:p w14:paraId="7AB9C149" w14:textId="77777777" w:rsidR="008423E4" w:rsidRPr="00B31F0E" w:rsidRDefault="008423E4" w:rsidP="0032248E"/>
    <w:p w14:paraId="433910B8" w14:textId="77777777" w:rsidR="008423E4" w:rsidRPr="00742794" w:rsidRDefault="008423E4" w:rsidP="0032248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C4E20" w14:paraId="5386FFB5" w14:textId="77777777" w:rsidTr="00345119">
        <w:tc>
          <w:tcPr>
            <w:tcW w:w="9576" w:type="dxa"/>
          </w:tcPr>
          <w:p w14:paraId="7F434A51" w14:textId="2F10BB6F" w:rsidR="008423E4" w:rsidRPr="00861995" w:rsidRDefault="00962A01" w:rsidP="0032248E">
            <w:pPr>
              <w:jc w:val="right"/>
            </w:pPr>
            <w:r>
              <w:t>C.S.H.B. 1706</w:t>
            </w:r>
          </w:p>
        </w:tc>
      </w:tr>
      <w:tr w:rsidR="003C4E20" w14:paraId="6A6427EB" w14:textId="77777777" w:rsidTr="00345119">
        <w:tc>
          <w:tcPr>
            <w:tcW w:w="9576" w:type="dxa"/>
          </w:tcPr>
          <w:p w14:paraId="7D0CAD60" w14:textId="63EA9B4B" w:rsidR="008423E4" w:rsidRPr="00861995" w:rsidRDefault="00962A01" w:rsidP="0032248E">
            <w:pPr>
              <w:jc w:val="right"/>
            </w:pPr>
            <w:r>
              <w:t xml:space="preserve">By: </w:t>
            </w:r>
            <w:r w:rsidR="00E30D09">
              <w:t>Perez</w:t>
            </w:r>
          </w:p>
        </w:tc>
      </w:tr>
      <w:tr w:rsidR="003C4E20" w14:paraId="35D6F7BB" w14:textId="77777777" w:rsidTr="00345119">
        <w:tc>
          <w:tcPr>
            <w:tcW w:w="9576" w:type="dxa"/>
          </w:tcPr>
          <w:p w14:paraId="1F5C5FE1" w14:textId="118C07F7" w:rsidR="008423E4" w:rsidRPr="00861995" w:rsidRDefault="00962A01" w:rsidP="0032248E">
            <w:pPr>
              <w:jc w:val="right"/>
            </w:pPr>
            <w:r>
              <w:t>Insurance</w:t>
            </w:r>
          </w:p>
        </w:tc>
      </w:tr>
      <w:tr w:rsidR="003C4E20" w14:paraId="4C6BB92C" w14:textId="77777777" w:rsidTr="00345119">
        <w:tc>
          <w:tcPr>
            <w:tcW w:w="9576" w:type="dxa"/>
          </w:tcPr>
          <w:p w14:paraId="12EA953B" w14:textId="7096E80B" w:rsidR="008423E4" w:rsidRDefault="00962A01" w:rsidP="0032248E">
            <w:pPr>
              <w:jc w:val="right"/>
            </w:pPr>
            <w:r>
              <w:t>Committee Report (Substituted)</w:t>
            </w:r>
          </w:p>
        </w:tc>
      </w:tr>
    </w:tbl>
    <w:p w14:paraId="5BABA46D" w14:textId="77777777" w:rsidR="008423E4" w:rsidRDefault="008423E4" w:rsidP="0032248E">
      <w:pPr>
        <w:tabs>
          <w:tab w:val="right" w:pos="9360"/>
        </w:tabs>
      </w:pPr>
    </w:p>
    <w:p w14:paraId="62CFC276" w14:textId="77777777" w:rsidR="008423E4" w:rsidRDefault="008423E4" w:rsidP="0032248E"/>
    <w:p w14:paraId="5764130A" w14:textId="77777777" w:rsidR="008423E4" w:rsidRDefault="008423E4" w:rsidP="0032248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C4E20" w14:paraId="2A0A5C2D" w14:textId="77777777" w:rsidTr="0032248E">
        <w:tc>
          <w:tcPr>
            <w:tcW w:w="9360" w:type="dxa"/>
          </w:tcPr>
          <w:p w14:paraId="353B4F3C" w14:textId="77777777" w:rsidR="008423E4" w:rsidRPr="00A8133F" w:rsidRDefault="00962A01" w:rsidP="0032248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F5B7A27" w14:textId="77777777" w:rsidR="008423E4" w:rsidRDefault="008423E4" w:rsidP="0032248E"/>
          <w:p w14:paraId="3369FD57" w14:textId="153BFDD3" w:rsidR="008423E4" w:rsidRDefault="00962A01" w:rsidP="003224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38360F" w:rsidRPr="0038360F">
              <w:t>ome insurance carriers</w:t>
            </w:r>
            <w:r>
              <w:t>, including surplus lines insurers who are not regulated by the state,</w:t>
            </w:r>
            <w:r w:rsidR="0038360F" w:rsidRPr="0038360F">
              <w:t xml:space="preserve"> restrict </w:t>
            </w:r>
            <w:r>
              <w:t>a</w:t>
            </w:r>
            <w:r w:rsidRPr="0038360F">
              <w:t xml:space="preserve"> </w:t>
            </w:r>
            <w:r w:rsidR="0038360F" w:rsidRPr="0038360F">
              <w:t xml:space="preserve">policyholder's ability to hire </w:t>
            </w:r>
            <w:r>
              <w:t>a</w:t>
            </w:r>
            <w:r w:rsidR="0003463A">
              <w:t xml:space="preserve"> public insurance</w:t>
            </w:r>
            <w:r>
              <w:t xml:space="preserve"> adjuster</w:t>
            </w:r>
            <w:r w:rsidR="00155189">
              <w:t xml:space="preserve"> to assist in negotiating a claim</w:t>
            </w:r>
            <w:r w:rsidRPr="0038360F">
              <w:t xml:space="preserve"> </w:t>
            </w:r>
            <w:r w:rsidR="0038360F" w:rsidRPr="0038360F">
              <w:t>yet preserv</w:t>
            </w:r>
            <w:r w:rsidR="00CF477C">
              <w:t>e</w:t>
            </w:r>
            <w:r w:rsidR="0038360F" w:rsidRPr="0038360F">
              <w:t xml:space="preserve"> their own ability to send a licensed adjuster to inspect </w:t>
            </w:r>
            <w:r w:rsidR="00155189">
              <w:t>the</w:t>
            </w:r>
            <w:r w:rsidR="0038360F" w:rsidRPr="0038360F">
              <w:t xml:space="preserve"> claim. This is unfair to consumers and business owners</w:t>
            </w:r>
            <w:r w:rsidR="00155189">
              <w:t xml:space="preserve">, who may not realize </w:t>
            </w:r>
            <w:r w:rsidR="000D174A">
              <w:t xml:space="preserve">this restriction is in their </w:t>
            </w:r>
            <w:r w:rsidR="00485B35">
              <w:t xml:space="preserve">insurance </w:t>
            </w:r>
            <w:r w:rsidR="000D174A">
              <w:t>policy</w:t>
            </w:r>
            <w:r w:rsidR="0038360F">
              <w:t xml:space="preserve">. </w:t>
            </w:r>
            <w:r>
              <w:t>C.S.</w:t>
            </w:r>
            <w:r w:rsidR="0038360F" w:rsidRPr="0038360F">
              <w:t>H</w:t>
            </w:r>
            <w:r>
              <w:t>.</w:t>
            </w:r>
            <w:r w:rsidR="0038360F" w:rsidRPr="0038360F">
              <w:t>B</w:t>
            </w:r>
            <w:r>
              <w:t>.</w:t>
            </w:r>
            <w:r w:rsidR="0038360F" w:rsidRPr="0038360F">
              <w:t xml:space="preserve"> 1706 seeks to </w:t>
            </w:r>
            <w:r>
              <w:t>address this issue and level the playing field by establishing</w:t>
            </w:r>
            <w:r w:rsidRPr="0038360F">
              <w:t xml:space="preserve"> </w:t>
            </w:r>
            <w:r w:rsidR="0038360F" w:rsidRPr="0038360F">
              <w:t xml:space="preserve">an insured's right to hire a public </w:t>
            </w:r>
            <w:r>
              <w:t xml:space="preserve">insurance </w:t>
            </w:r>
            <w:r w:rsidR="0038360F" w:rsidRPr="0038360F">
              <w:t xml:space="preserve">adjuster, if desired, under a </w:t>
            </w:r>
            <w:r w:rsidR="00155189">
              <w:t xml:space="preserve">commercial or residential property </w:t>
            </w:r>
            <w:r w:rsidR="0038360F" w:rsidRPr="0038360F">
              <w:t>insurance policy in Texas.</w:t>
            </w:r>
          </w:p>
          <w:p w14:paraId="0428BDEA" w14:textId="77777777" w:rsidR="008423E4" w:rsidRPr="00E26B13" w:rsidRDefault="008423E4" w:rsidP="0032248E">
            <w:pPr>
              <w:rPr>
                <w:b/>
              </w:rPr>
            </w:pPr>
          </w:p>
        </w:tc>
      </w:tr>
      <w:tr w:rsidR="003C4E20" w14:paraId="036C016B" w14:textId="77777777" w:rsidTr="0032248E">
        <w:tc>
          <w:tcPr>
            <w:tcW w:w="9360" w:type="dxa"/>
          </w:tcPr>
          <w:p w14:paraId="6A7EFD97" w14:textId="77777777" w:rsidR="0017725B" w:rsidRDefault="00962A01" w:rsidP="003224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4D3827E" w14:textId="77777777" w:rsidR="0017725B" w:rsidRDefault="0017725B" w:rsidP="0032248E">
            <w:pPr>
              <w:rPr>
                <w:b/>
                <w:u w:val="single"/>
              </w:rPr>
            </w:pPr>
          </w:p>
          <w:p w14:paraId="66855754" w14:textId="77777777" w:rsidR="0017725B" w:rsidRDefault="00962A01" w:rsidP="0032248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37423EB2" w14:textId="62F184ED" w:rsidR="0032248E" w:rsidRPr="0017725B" w:rsidRDefault="0032248E" w:rsidP="0032248E">
            <w:pPr>
              <w:jc w:val="both"/>
              <w:rPr>
                <w:b/>
                <w:u w:val="single"/>
              </w:rPr>
            </w:pPr>
          </w:p>
        </w:tc>
      </w:tr>
      <w:tr w:rsidR="003C4E20" w14:paraId="47219647" w14:textId="77777777" w:rsidTr="0032248E">
        <w:tc>
          <w:tcPr>
            <w:tcW w:w="9360" w:type="dxa"/>
          </w:tcPr>
          <w:p w14:paraId="617F15AC" w14:textId="77777777" w:rsidR="008423E4" w:rsidRPr="00A8133F" w:rsidRDefault="00962A01" w:rsidP="0032248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36F6357" w14:textId="77777777" w:rsidR="008423E4" w:rsidRDefault="008423E4" w:rsidP="0032248E"/>
          <w:p w14:paraId="17DDDA71" w14:textId="77777777" w:rsidR="008423E4" w:rsidRDefault="00962A01" w:rsidP="003224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835E866" w14:textId="24742C8D" w:rsidR="0032248E" w:rsidRPr="00E21FDC" w:rsidRDefault="0032248E" w:rsidP="0032248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C4E20" w14:paraId="378CCC4E" w14:textId="77777777" w:rsidTr="0032248E">
        <w:tc>
          <w:tcPr>
            <w:tcW w:w="9360" w:type="dxa"/>
          </w:tcPr>
          <w:p w14:paraId="6E8EFA22" w14:textId="77777777" w:rsidR="008423E4" w:rsidRPr="00A8133F" w:rsidRDefault="00962A01" w:rsidP="0032248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1ECA1B" w14:textId="77777777" w:rsidR="008423E4" w:rsidRDefault="008423E4" w:rsidP="0032248E"/>
          <w:p w14:paraId="1AAB2DA3" w14:textId="77777777" w:rsidR="00514FCA" w:rsidRDefault="00962A01" w:rsidP="003224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D2135">
              <w:t xml:space="preserve">H.B. 1706 amends the Insurance Code to establish the right of an insured to </w:t>
            </w:r>
            <w:r w:rsidR="00FD2135" w:rsidRPr="00FD2135">
              <w:t>enter into a contract with a license</w:t>
            </w:r>
            <w:r w:rsidR="004200C5">
              <w:t>d</w:t>
            </w:r>
            <w:r w:rsidR="00FD2135" w:rsidRPr="00FD2135">
              <w:t xml:space="preserve"> </w:t>
            </w:r>
            <w:r w:rsidR="004200C5">
              <w:t>public insurance adjuster</w:t>
            </w:r>
            <w:r w:rsidR="004200C5" w:rsidRPr="00FD2135">
              <w:t xml:space="preserve"> </w:t>
            </w:r>
            <w:r w:rsidR="00FD2135" w:rsidRPr="00FD2135">
              <w:t>to help the insured meet the</w:t>
            </w:r>
            <w:r w:rsidR="004200C5">
              <w:t>ir</w:t>
            </w:r>
            <w:r w:rsidR="00FD2135" w:rsidRPr="00FD2135">
              <w:t xml:space="preserve"> obligations under the</w:t>
            </w:r>
            <w:r w:rsidR="004200C5">
              <w:t>ir</w:t>
            </w:r>
            <w:r w:rsidR="00FD2135" w:rsidRPr="00FD2135">
              <w:t xml:space="preserve"> insurance policy.</w:t>
            </w:r>
            <w:r w:rsidR="00FD2135">
              <w:t xml:space="preserve"> The bill prohibits an insurance policy </w:t>
            </w:r>
            <w:r w:rsidR="004200C5">
              <w:t xml:space="preserve">issued </w:t>
            </w:r>
            <w:r w:rsidR="00FD2135">
              <w:t xml:space="preserve">in Texas </w:t>
            </w:r>
            <w:r w:rsidR="004200C5">
              <w:t>from</w:t>
            </w:r>
            <w:r w:rsidR="00FD2135">
              <w:t xml:space="preserve"> </w:t>
            </w:r>
            <w:r w:rsidR="00FD2135" w:rsidRPr="00FD2135">
              <w:t>imped</w:t>
            </w:r>
            <w:r w:rsidR="004200C5">
              <w:t>ing</w:t>
            </w:r>
            <w:r w:rsidR="00FD2135" w:rsidRPr="00FD2135">
              <w:t xml:space="preserve"> or prohibit</w:t>
            </w:r>
            <w:r w:rsidR="004200C5">
              <w:t>ing</w:t>
            </w:r>
            <w:r w:rsidR="00FD2135" w:rsidRPr="00FD2135">
              <w:t xml:space="preserve"> </w:t>
            </w:r>
            <w:r w:rsidR="004200C5">
              <w:t>this</w:t>
            </w:r>
            <w:r w:rsidR="00FD2135">
              <w:t xml:space="preserve"> </w:t>
            </w:r>
            <w:r w:rsidR="00FD2135" w:rsidRPr="00FD2135">
              <w:t>right</w:t>
            </w:r>
            <w:r w:rsidR="004200C5">
              <w:t xml:space="preserve"> and establishes that</w:t>
            </w:r>
            <w:r w:rsidR="00FD2135">
              <w:t xml:space="preserve"> an insured </w:t>
            </w:r>
            <w:r w:rsidR="004200C5">
              <w:t xml:space="preserve">is not required </w:t>
            </w:r>
            <w:r w:rsidR="00FD2135">
              <w:t xml:space="preserve">to </w:t>
            </w:r>
            <w:r w:rsidR="00FD2135" w:rsidRPr="00FD2135">
              <w:t xml:space="preserve">enter into </w:t>
            </w:r>
            <w:r w:rsidR="004200C5">
              <w:t xml:space="preserve">such </w:t>
            </w:r>
            <w:r w:rsidR="00FD2135" w:rsidRPr="00FD2135">
              <w:t>a contract</w:t>
            </w:r>
            <w:r w:rsidR="00FD2135">
              <w:t xml:space="preserve">. </w:t>
            </w:r>
          </w:p>
          <w:p w14:paraId="56093CC4" w14:textId="55CDB8BA" w:rsidR="00F01DA7" w:rsidRDefault="00962A01" w:rsidP="003224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BF46B5">
              <w:t>hese provisions appl</w:t>
            </w:r>
            <w:r>
              <w:t>y</w:t>
            </w:r>
            <w:r w:rsidR="00BF46B5">
              <w:t xml:space="preserve"> to</w:t>
            </w:r>
            <w:r w:rsidR="00514FCA">
              <w:t xml:space="preserve"> </w:t>
            </w:r>
            <w:r w:rsidR="005F6D38">
              <w:t>a</w:t>
            </w:r>
            <w:r>
              <w:t xml:space="preserve"> </w:t>
            </w:r>
            <w:r w:rsidR="00514FCA" w:rsidRPr="00514FCA">
              <w:t xml:space="preserve">commercial </w:t>
            </w:r>
            <w:r w:rsidR="0003463A">
              <w:t>or</w:t>
            </w:r>
            <w:r w:rsidR="00514FCA" w:rsidRPr="00514FCA">
              <w:t xml:space="preserve"> residential property insurance polic</w:t>
            </w:r>
            <w:r w:rsidR="005F6D38">
              <w:t>y</w:t>
            </w:r>
            <w:r w:rsidR="00514FCA" w:rsidRPr="00514FCA">
              <w:t xml:space="preserve"> issued by an insurer</w:t>
            </w:r>
            <w:r>
              <w:t>, including the following:</w:t>
            </w:r>
          </w:p>
          <w:p w14:paraId="4AE3A799" w14:textId="77777777" w:rsidR="00F01DA7" w:rsidRDefault="00962A01" w:rsidP="003224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capital stock insurance company;</w:t>
            </w:r>
          </w:p>
          <w:p w14:paraId="3F3F2471" w14:textId="7D95135A" w:rsidR="00F01DA7" w:rsidRDefault="00962A01" w:rsidP="003224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mutual insurance company;</w:t>
            </w:r>
          </w:p>
          <w:p w14:paraId="00A481DA" w14:textId="196F2DB7" w:rsidR="00F01DA7" w:rsidRDefault="00962A01" w:rsidP="003224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county mutual insurance company;</w:t>
            </w:r>
          </w:p>
          <w:p w14:paraId="6A41040D" w14:textId="0B13C0D0" w:rsidR="00F01DA7" w:rsidRDefault="00962A01" w:rsidP="003224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Lloyd's plan;</w:t>
            </w:r>
          </w:p>
          <w:p w14:paraId="0EDE170B" w14:textId="7948EBD4" w:rsidR="00F01DA7" w:rsidRDefault="00962A01" w:rsidP="003224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reciprocal or interinsurance exchange;</w:t>
            </w:r>
          </w:p>
          <w:p w14:paraId="5CDDB804" w14:textId="7FBC9DEC" w:rsidR="00F01DA7" w:rsidRDefault="00962A01" w:rsidP="003224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farm mutual i</w:t>
            </w:r>
            <w:r>
              <w:t>nsurance company; and</w:t>
            </w:r>
          </w:p>
          <w:p w14:paraId="61792FC8" w14:textId="50349BC0" w:rsidR="00F01DA7" w:rsidRPr="009C53FB" w:rsidRDefault="00962A01" w:rsidP="0032248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an eligible surplus lines insurer if Texas is the insured's home state</w:t>
            </w:r>
            <w:r w:rsidR="00514FCA">
              <w:t xml:space="preserve">. </w:t>
            </w:r>
          </w:p>
          <w:p w14:paraId="331DD356" w14:textId="77777777" w:rsidR="008423E4" w:rsidRDefault="00962A01" w:rsidP="003224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4200C5">
              <w:t>se provisions</w:t>
            </w:r>
            <w:r>
              <w:t xml:space="preserve"> appl</w:t>
            </w:r>
            <w:r w:rsidR="004200C5">
              <w:t>y</w:t>
            </w:r>
            <w:r>
              <w:t xml:space="preserve"> </w:t>
            </w:r>
            <w:r w:rsidRPr="00FD2135">
              <w:t>only to an insurance policy delivered, issued for delivery, or renewed on or after January 1, 2024.</w:t>
            </w:r>
          </w:p>
          <w:p w14:paraId="70243186" w14:textId="1FBD100F" w:rsidR="0032248E" w:rsidRPr="00835628" w:rsidRDefault="0032248E" w:rsidP="0032248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C4E20" w14:paraId="3DDC9D8C" w14:textId="77777777" w:rsidTr="0032248E">
        <w:tc>
          <w:tcPr>
            <w:tcW w:w="9360" w:type="dxa"/>
          </w:tcPr>
          <w:p w14:paraId="2F869218" w14:textId="77777777" w:rsidR="008423E4" w:rsidRPr="00A8133F" w:rsidRDefault="00962A01" w:rsidP="0032248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89F80AD" w14:textId="77777777" w:rsidR="008423E4" w:rsidRDefault="008423E4" w:rsidP="0032248E"/>
          <w:p w14:paraId="572B2803" w14:textId="77777777" w:rsidR="008423E4" w:rsidRDefault="00962A01" w:rsidP="003224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4D4AC24" w14:textId="1A415373" w:rsidR="0032248E" w:rsidRPr="00233FDB" w:rsidRDefault="0032248E" w:rsidP="0032248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C4E20" w14:paraId="7849B1EE" w14:textId="77777777" w:rsidTr="0032248E">
        <w:tc>
          <w:tcPr>
            <w:tcW w:w="9360" w:type="dxa"/>
          </w:tcPr>
          <w:p w14:paraId="4599C53C" w14:textId="15DB4E18" w:rsidR="0029479D" w:rsidRPr="0032731D" w:rsidRDefault="00962A01" w:rsidP="0032248E">
            <w:pPr>
              <w:keepNext/>
              <w:jc w:val="both"/>
              <w:rPr>
                <w:b/>
                <w:u w:val="single"/>
              </w:rPr>
            </w:pPr>
            <w:r w:rsidRPr="00E30D09">
              <w:rPr>
                <w:b/>
                <w:u w:val="single"/>
              </w:rPr>
              <w:t>COMPARISON OF INTRODUCED AND SUBSTIT</w:t>
            </w:r>
            <w:r w:rsidRPr="0032731D">
              <w:rPr>
                <w:b/>
                <w:u w:val="single"/>
              </w:rPr>
              <w:t>UTE</w:t>
            </w:r>
          </w:p>
          <w:p w14:paraId="69EFD1EB" w14:textId="6E902CC8" w:rsidR="0084615A" w:rsidRPr="0032731D" w:rsidRDefault="0084615A" w:rsidP="0032248E">
            <w:pPr>
              <w:keepNext/>
              <w:jc w:val="both"/>
            </w:pPr>
          </w:p>
          <w:p w14:paraId="4855A787" w14:textId="6A51BB65" w:rsidR="0084615A" w:rsidRPr="0032731D" w:rsidRDefault="00962A01" w:rsidP="0032248E">
            <w:pPr>
              <w:keepNext/>
              <w:jc w:val="both"/>
            </w:pPr>
            <w:r w:rsidRPr="0032731D">
              <w:t>While C.S.H.B. 1706 may differ from the introduced in minor or nonsubstantive ways, the following summarizes the substantial differences between the introduced and committee substitute versions of the bill.</w:t>
            </w:r>
          </w:p>
          <w:p w14:paraId="56DA7E78" w14:textId="5C8EF5F2" w:rsidR="0084615A" w:rsidRPr="0032731D" w:rsidRDefault="0084615A" w:rsidP="0032248E">
            <w:pPr>
              <w:jc w:val="both"/>
            </w:pPr>
          </w:p>
          <w:p w14:paraId="1FEA3D98" w14:textId="749A9A94" w:rsidR="0084615A" w:rsidRPr="00E30D09" w:rsidRDefault="00962A01" w:rsidP="0032248E">
            <w:pPr>
              <w:jc w:val="both"/>
              <w:rPr>
                <w:b/>
                <w:u w:val="single"/>
              </w:rPr>
            </w:pPr>
            <w:r w:rsidRPr="0032731D">
              <w:t>The s</w:t>
            </w:r>
            <w:r w:rsidRPr="0032731D">
              <w:t xml:space="preserve">ubstitute includes </w:t>
            </w:r>
            <w:r w:rsidR="0032731D">
              <w:t xml:space="preserve">a </w:t>
            </w:r>
            <w:r w:rsidRPr="0032731D">
              <w:t xml:space="preserve">provision that </w:t>
            </w:r>
            <w:r w:rsidR="0032731D">
              <w:t>was</w:t>
            </w:r>
            <w:r w:rsidR="0032731D" w:rsidRPr="0032731D">
              <w:t xml:space="preserve"> </w:t>
            </w:r>
            <w:r w:rsidRPr="0032731D">
              <w:t xml:space="preserve">not in the introduced </w:t>
            </w:r>
            <w:r w:rsidR="0032731D">
              <w:t>making the bill's provisions applicable to</w:t>
            </w:r>
            <w:r w:rsidR="00514FCA" w:rsidRPr="0032731D">
              <w:t xml:space="preserve"> </w:t>
            </w:r>
            <w:r w:rsidR="0032731D">
              <w:t>a</w:t>
            </w:r>
            <w:r w:rsidR="00E34CBB">
              <w:t xml:space="preserve"> </w:t>
            </w:r>
            <w:r w:rsidR="00514FCA" w:rsidRPr="0032731D">
              <w:t xml:space="preserve">commercial </w:t>
            </w:r>
            <w:r w:rsidR="00155189">
              <w:t>or</w:t>
            </w:r>
            <w:r w:rsidR="0032731D" w:rsidRPr="0032731D">
              <w:t xml:space="preserve"> </w:t>
            </w:r>
            <w:r w:rsidR="00514FCA" w:rsidRPr="0032731D">
              <w:t>residential property insurance polic</w:t>
            </w:r>
            <w:r w:rsidR="00161781">
              <w:t>y</w:t>
            </w:r>
            <w:r w:rsidR="00514FCA" w:rsidRPr="0032731D">
              <w:t xml:space="preserve"> issued by an insurer</w:t>
            </w:r>
            <w:r w:rsidR="0066188D">
              <w:t>, including certain insurers that would be exempt if not expressly specified</w:t>
            </w:r>
            <w:r w:rsidR="00514FCA" w:rsidRPr="0032731D">
              <w:t xml:space="preserve">. </w:t>
            </w:r>
          </w:p>
        </w:tc>
      </w:tr>
    </w:tbl>
    <w:p w14:paraId="5394CDBD" w14:textId="77777777" w:rsidR="008423E4" w:rsidRPr="00BE0E75" w:rsidRDefault="008423E4" w:rsidP="0032248E">
      <w:pPr>
        <w:jc w:val="both"/>
        <w:rPr>
          <w:rFonts w:ascii="Arial" w:hAnsi="Arial"/>
          <w:sz w:val="16"/>
          <w:szCs w:val="16"/>
        </w:rPr>
      </w:pPr>
    </w:p>
    <w:p w14:paraId="0EA5A940" w14:textId="77777777" w:rsidR="004108C3" w:rsidRPr="008423E4" w:rsidRDefault="004108C3" w:rsidP="0032248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9478" w14:textId="77777777" w:rsidR="00000000" w:rsidRDefault="00962A01">
      <w:r>
        <w:separator/>
      </w:r>
    </w:p>
  </w:endnote>
  <w:endnote w:type="continuationSeparator" w:id="0">
    <w:p w14:paraId="5762DCD0" w14:textId="77777777" w:rsidR="00000000" w:rsidRDefault="0096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71D1" w14:textId="77777777" w:rsidR="0032731D" w:rsidRDefault="00327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C4E20" w14:paraId="51320D21" w14:textId="77777777" w:rsidTr="009C1E9A">
      <w:trPr>
        <w:cantSplit/>
      </w:trPr>
      <w:tc>
        <w:tcPr>
          <w:tcW w:w="0" w:type="pct"/>
        </w:tcPr>
        <w:p w14:paraId="1AA2A6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D60A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53C40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9493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EA22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C4E20" w14:paraId="69A03591" w14:textId="77777777" w:rsidTr="009C1E9A">
      <w:trPr>
        <w:cantSplit/>
      </w:trPr>
      <w:tc>
        <w:tcPr>
          <w:tcW w:w="0" w:type="pct"/>
        </w:tcPr>
        <w:p w14:paraId="082E97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6ACB00" w14:textId="1D44703A" w:rsidR="00EC379B" w:rsidRPr="009C1E9A" w:rsidRDefault="00962A0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19980-D</w:t>
          </w:r>
        </w:p>
      </w:tc>
      <w:tc>
        <w:tcPr>
          <w:tcW w:w="2453" w:type="pct"/>
        </w:tcPr>
        <w:p w14:paraId="61FAB28A" w14:textId="6A73143A" w:rsidR="00EC379B" w:rsidRDefault="00962A0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D4CB8">
            <w:t>23.82.485</w:t>
          </w:r>
          <w:r>
            <w:fldChar w:fldCharType="end"/>
          </w:r>
        </w:p>
      </w:tc>
    </w:tr>
    <w:tr w:rsidR="003C4E20" w14:paraId="0EC7A009" w14:textId="77777777" w:rsidTr="009C1E9A">
      <w:trPr>
        <w:cantSplit/>
      </w:trPr>
      <w:tc>
        <w:tcPr>
          <w:tcW w:w="0" w:type="pct"/>
        </w:tcPr>
        <w:p w14:paraId="4233E8E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C7B7921" w14:textId="6BFBA588" w:rsidR="00EC379B" w:rsidRPr="009C1E9A" w:rsidRDefault="00962A0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18799</w:t>
          </w:r>
        </w:p>
      </w:tc>
      <w:tc>
        <w:tcPr>
          <w:tcW w:w="2453" w:type="pct"/>
        </w:tcPr>
        <w:p w14:paraId="07E2C73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200AB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C4E20" w14:paraId="1DF0605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B5340FA" w14:textId="77777777" w:rsidR="00EC379B" w:rsidRDefault="00962A0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F08A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9ABEA1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DF19" w14:textId="77777777" w:rsidR="0032731D" w:rsidRDefault="00327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CDE1" w14:textId="77777777" w:rsidR="00000000" w:rsidRDefault="00962A01">
      <w:r>
        <w:separator/>
      </w:r>
    </w:p>
  </w:footnote>
  <w:footnote w:type="continuationSeparator" w:id="0">
    <w:p w14:paraId="165DA656" w14:textId="77777777" w:rsidR="00000000" w:rsidRDefault="0096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228D" w14:textId="77777777" w:rsidR="0032731D" w:rsidRDefault="00327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B913" w14:textId="77777777" w:rsidR="0032731D" w:rsidRDefault="003273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9865" w14:textId="77777777" w:rsidR="0032731D" w:rsidRDefault="00327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C5B3D"/>
    <w:multiLevelType w:val="hybridMultilevel"/>
    <w:tmpl w:val="1F043F8A"/>
    <w:lvl w:ilvl="0" w:tplc="B726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4AF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CB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CE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43E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C2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8B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66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CE2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3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63A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4A6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74A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071"/>
    <w:rsid w:val="00142F8E"/>
    <w:rsid w:val="00143C8B"/>
    <w:rsid w:val="00147530"/>
    <w:rsid w:val="0015331F"/>
    <w:rsid w:val="00155189"/>
    <w:rsid w:val="00156AB2"/>
    <w:rsid w:val="00160402"/>
    <w:rsid w:val="00160571"/>
    <w:rsid w:val="0016178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79D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2F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884"/>
    <w:rsid w:val="00313DFE"/>
    <w:rsid w:val="003143B2"/>
    <w:rsid w:val="00314821"/>
    <w:rsid w:val="0031483F"/>
    <w:rsid w:val="0031741B"/>
    <w:rsid w:val="00321337"/>
    <w:rsid w:val="00321F2F"/>
    <w:rsid w:val="0032248E"/>
    <w:rsid w:val="003237F6"/>
    <w:rsid w:val="00324077"/>
    <w:rsid w:val="0032453B"/>
    <w:rsid w:val="00324868"/>
    <w:rsid w:val="0032537C"/>
    <w:rsid w:val="0032731D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60F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E20"/>
    <w:rsid w:val="003C664C"/>
    <w:rsid w:val="003D726D"/>
    <w:rsid w:val="003E0875"/>
    <w:rsid w:val="003E0BB8"/>
    <w:rsid w:val="003E6CB0"/>
    <w:rsid w:val="003F1F5E"/>
    <w:rsid w:val="003F286A"/>
    <w:rsid w:val="003F6E90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0C5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B35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CB8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FCA"/>
    <w:rsid w:val="00515466"/>
    <w:rsid w:val="005154F7"/>
    <w:rsid w:val="005159DE"/>
    <w:rsid w:val="005269CE"/>
    <w:rsid w:val="005304B2"/>
    <w:rsid w:val="005336BD"/>
    <w:rsid w:val="00534A49"/>
    <w:rsid w:val="005363BB"/>
    <w:rsid w:val="005414E6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DE3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C84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6D38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88D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0A7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E62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061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15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6814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7DF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A01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3FB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489D"/>
    <w:rsid w:val="00AD7780"/>
    <w:rsid w:val="00AE15AA"/>
    <w:rsid w:val="00AE2263"/>
    <w:rsid w:val="00AE248E"/>
    <w:rsid w:val="00AE2D12"/>
    <w:rsid w:val="00AE2F06"/>
    <w:rsid w:val="00AE4F1C"/>
    <w:rsid w:val="00AF1433"/>
    <w:rsid w:val="00AF2FE4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6B5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77C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2C7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D09"/>
    <w:rsid w:val="00E31135"/>
    <w:rsid w:val="00E317BA"/>
    <w:rsid w:val="00E3469B"/>
    <w:rsid w:val="00E34CB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549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A7"/>
    <w:rsid w:val="00F01DFA"/>
    <w:rsid w:val="00F02096"/>
    <w:rsid w:val="00F02457"/>
    <w:rsid w:val="00F036C3"/>
    <w:rsid w:val="00F0417E"/>
    <w:rsid w:val="00F05397"/>
    <w:rsid w:val="00F0638C"/>
    <w:rsid w:val="00F06D6C"/>
    <w:rsid w:val="00F11E04"/>
    <w:rsid w:val="00F12B24"/>
    <w:rsid w:val="00F12BC7"/>
    <w:rsid w:val="00F14E65"/>
    <w:rsid w:val="00F15223"/>
    <w:rsid w:val="00F164B4"/>
    <w:rsid w:val="00F176E4"/>
    <w:rsid w:val="00F20E5F"/>
    <w:rsid w:val="00F21731"/>
    <w:rsid w:val="00F25C26"/>
    <w:rsid w:val="00F25CC2"/>
    <w:rsid w:val="00F27573"/>
    <w:rsid w:val="00F307B6"/>
    <w:rsid w:val="00F30EB8"/>
    <w:rsid w:val="00F31876"/>
    <w:rsid w:val="00F31C67"/>
    <w:rsid w:val="00F3209D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35C3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13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FB3ED-EBEE-473B-8B32-2B5C5E72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D21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2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213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2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2135"/>
    <w:rPr>
      <w:b/>
      <w:bCs/>
    </w:rPr>
  </w:style>
  <w:style w:type="paragraph" w:styleId="Revision">
    <w:name w:val="Revision"/>
    <w:hidden/>
    <w:uiPriority w:val="99"/>
    <w:semiHidden/>
    <w:rsid w:val="008D6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2261</Characters>
  <Application>Microsoft Office Word</Application>
  <DocSecurity>4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HB01706 (Committee Report (Substituted))</vt:lpstr>
    </vt:vector>
  </TitlesOfParts>
  <Company>State of Texas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19980</dc:subject>
  <dc:creator>State of Texas</dc:creator>
  <dc:description>HB 1706 by Perez-(H)Insurance (Substitute Document Number: 88R 18799)</dc:description>
  <cp:lastModifiedBy>Damian Duarte</cp:lastModifiedBy>
  <cp:revision>2</cp:revision>
  <cp:lastPrinted>2003-11-26T17:21:00Z</cp:lastPrinted>
  <dcterms:created xsi:type="dcterms:W3CDTF">2023-03-30T21:40:00Z</dcterms:created>
  <dcterms:modified xsi:type="dcterms:W3CDTF">2023-03-30T21:40:00Z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23.82.485</vt:lpwstr>
  </property>
</Properties>
</file>