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7140E" w14:paraId="569EDA2C" w14:textId="77777777" w:rsidTr="00345119">
        <w:tc>
          <w:tcPr>
            <w:tcW w:w="9576" w:type="dxa"/>
            <w:noWrap/>
          </w:tcPr>
          <w:p w14:paraId="544783F9" w14:textId="77777777" w:rsidR="008423E4" w:rsidRPr="0022177D" w:rsidRDefault="00075172" w:rsidP="00E547CA">
            <w:pPr>
              <w:pStyle w:val="Heading1"/>
            </w:pPr>
            <w:r w:rsidRPr="00631897">
              <w:t>BILL ANALYSIS</w:t>
            </w:r>
          </w:p>
        </w:tc>
      </w:tr>
    </w:tbl>
    <w:p w14:paraId="2724A759" w14:textId="77777777" w:rsidR="008423E4" w:rsidRPr="0022177D" w:rsidRDefault="008423E4" w:rsidP="00E547CA">
      <w:pPr>
        <w:jc w:val="center"/>
      </w:pPr>
    </w:p>
    <w:p w14:paraId="4434C13F" w14:textId="77777777" w:rsidR="008423E4" w:rsidRPr="00B31F0E" w:rsidRDefault="008423E4" w:rsidP="00E547CA"/>
    <w:p w14:paraId="36E66567" w14:textId="77777777" w:rsidR="008423E4" w:rsidRPr="00742794" w:rsidRDefault="008423E4" w:rsidP="00E547C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7140E" w14:paraId="368F7D4E" w14:textId="77777777" w:rsidTr="00345119">
        <w:tc>
          <w:tcPr>
            <w:tcW w:w="9576" w:type="dxa"/>
          </w:tcPr>
          <w:p w14:paraId="3FCD0040" w14:textId="710AFA23" w:rsidR="008423E4" w:rsidRPr="00861995" w:rsidRDefault="00075172" w:rsidP="00E547CA">
            <w:pPr>
              <w:jc w:val="right"/>
            </w:pPr>
            <w:r>
              <w:t>H.B. 1726</w:t>
            </w:r>
          </w:p>
        </w:tc>
      </w:tr>
      <w:tr w:rsidR="00E7140E" w14:paraId="1CF0BF1D" w14:textId="77777777" w:rsidTr="00345119">
        <w:tc>
          <w:tcPr>
            <w:tcW w:w="9576" w:type="dxa"/>
          </w:tcPr>
          <w:p w14:paraId="39C6DBF3" w14:textId="4D2AF199" w:rsidR="008423E4" w:rsidRPr="00861995" w:rsidRDefault="00075172" w:rsidP="00E547CA">
            <w:pPr>
              <w:jc w:val="right"/>
            </w:pPr>
            <w:r>
              <w:t xml:space="preserve">By: </w:t>
            </w:r>
            <w:r w:rsidR="005212BE">
              <w:t>Hernandez</w:t>
            </w:r>
          </w:p>
        </w:tc>
      </w:tr>
      <w:tr w:rsidR="00E7140E" w14:paraId="70B9049E" w14:textId="77777777" w:rsidTr="00345119">
        <w:tc>
          <w:tcPr>
            <w:tcW w:w="9576" w:type="dxa"/>
          </w:tcPr>
          <w:p w14:paraId="5AE07A19" w14:textId="03834F2E" w:rsidR="008423E4" w:rsidRPr="00861995" w:rsidRDefault="00075172" w:rsidP="00E547CA">
            <w:pPr>
              <w:jc w:val="right"/>
            </w:pPr>
            <w:r>
              <w:t>Insurance</w:t>
            </w:r>
          </w:p>
        </w:tc>
      </w:tr>
      <w:tr w:rsidR="00E7140E" w14:paraId="7EE11CBD" w14:textId="77777777" w:rsidTr="00345119">
        <w:tc>
          <w:tcPr>
            <w:tcW w:w="9576" w:type="dxa"/>
          </w:tcPr>
          <w:p w14:paraId="04F3250D" w14:textId="5F814DF5" w:rsidR="008423E4" w:rsidRDefault="00075172" w:rsidP="00E547CA">
            <w:pPr>
              <w:jc w:val="right"/>
            </w:pPr>
            <w:r>
              <w:t>Committee Report (Unamended)</w:t>
            </w:r>
          </w:p>
        </w:tc>
      </w:tr>
    </w:tbl>
    <w:p w14:paraId="1D1887A2" w14:textId="77777777" w:rsidR="008423E4" w:rsidRDefault="008423E4" w:rsidP="00E547CA">
      <w:pPr>
        <w:tabs>
          <w:tab w:val="right" w:pos="9360"/>
        </w:tabs>
      </w:pPr>
    </w:p>
    <w:p w14:paraId="511806D3" w14:textId="77777777" w:rsidR="008423E4" w:rsidRDefault="008423E4" w:rsidP="00E547CA"/>
    <w:p w14:paraId="21CAB69A" w14:textId="77777777" w:rsidR="008423E4" w:rsidRDefault="008423E4" w:rsidP="00E547C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7140E" w14:paraId="6DC2D089" w14:textId="77777777" w:rsidTr="00345119">
        <w:tc>
          <w:tcPr>
            <w:tcW w:w="9576" w:type="dxa"/>
          </w:tcPr>
          <w:p w14:paraId="78CC05A3" w14:textId="77777777" w:rsidR="008423E4" w:rsidRPr="00A8133F" w:rsidRDefault="00075172" w:rsidP="00E547C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6013A4C" w14:textId="77777777" w:rsidR="008423E4" w:rsidRDefault="008423E4" w:rsidP="00E547CA"/>
          <w:p w14:paraId="382647A8" w14:textId="593A4FC3" w:rsidR="008423E4" w:rsidRDefault="00075172" w:rsidP="00E547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While teleservices have been available for over 15 years, the pandemic propelled a greater utilization of telemedicine medical services, teledentistry dental services, and telehealth services. </w:t>
            </w:r>
            <w:r w:rsidR="00F56085">
              <w:t>Telehealth allows patients to receive health care services in a location separate from their provider through virtual and other technological communications platforms. According to a study by Accenture in 2020, an estimated 4.5 million Texans used virtual health</w:t>
            </w:r>
            <w:r w:rsidR="000A45FD">
              <w:t xml:space="preserve"> </w:t>
            </w:r>
            <w:r w:rsidR="00F56085">
              <w:t xml:space="preserve">care services due to the pandemic. </w:t>
            </w:r>
            <w:r>
              <w:t>These remote visits r</w:t>
            </w:r>
            <w:r>
              <w:t>ange from physician care to psychotherapy. For people who live too far away from a provider, cannot take time off from work, lack child care, lack transportation</w:t>
            </w:r>
            <w:r w:rsidR="000A45FD">
              <w:t>,</w:t>
            </w:r>
            <w:r>
              <w:t xml:space="preserve"> or have a disability, these virtual services provide access to much needed health services. E</w:t>
            </w:r>
            <w:r>
              <w:t>ven though this technology can reduce health</w:t>
            </w:r>
            <w:r w:rsidR="000A45FD">
              <w:t xml:space="preserve"> </w:t>
            </w:r>
            <w:r>
              <w:t>care costs, Texas does not currently require private insurers to reimburse telehealth services at the same rate as in-person visits. H</w:t>
            </w:r>
            <w:r w:rsidR="00523F30">
              <w:t>.</w:t>
            </w:r>
            <w:r>
              <w:t>B</w:t>
            </w:r>
            <w:r w:rsidR="00523F30">
              <w:t>.</w:t>
            </w:r>
            <w:r>
              <w:t xml:space="preserve"> 1726 addresses this issue by ensuring health benefit plan issuers reimbur</w:t>
            </w:r>
            <w:r>
              <w:t>se and pay claims for telemedicine medical services, teledentistry dental services, and telehealth services at the same rate as in-person visits.</w:t>
            </w:r>
          </w:p>
          <w:p w14:paraId="2F97CDE7" w14:textId="77777777" w:rsidR="008423E4" w:rsidRPr="00E26B13" w:rsidRDefault="008423E4" w:rsidP="00E547CA">
            <w:pPr>
              <w:rPr>
                <w:b/>
              </w:rPr>
            </w:pPr>
          </w:p>
        </w:tc>
      </w:tr>
      <w:tr w:rsidR="00E7140E" w14:paraId="6DBAEED6" w14:textId="77777777" w:rsidTr="00345119">
        <w:tc>
          <w:tcPr>
            <w:tcW w:w="9576" w:type="dxa"/>
          </w:tcPr>
          <w:p w14:paraId="65C70BC2" w14:textId="77777777" w:rsidR="0017725B" w:rsidRDefault="00075172" w:rsidP="00E547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01AF236" w14:textId="77777777" w:rsidR="0017725B" w:rsidRDefault="0017725B" w:rsidP="00E547CA">
            <w:pPr>
              <w:rPr>
                <w:b/>
                <w:u w:val="single"/>
              </w:rPr>
            </w:pPr>
          </w:p>
          <w:p w14:paraId="00BE2DC0" w14:textId="1AEDD42D" w:rsidR="004475A6" w:rsidRPr="004475A6" w:rsidRDefault="00075172" w:rsidP="00E547CA">
            <w:pPr>
              <w:jc w:val="both"/>
            </w:pPr>
            <w:r>
              <w:t>It is the committee's opinion that this bill does not expressly create a criminal o</w:t>
            </w:r>
            <w:r>
              <w:t>ffense, increase the punishment for an existing criminal offense or category of offenses, or change the eligibility of a person for community supervision, parole, or mandatory supervision.</w:t>
            </w:r>
          </w:p>
          <w:p w14:paraId="326F2A6A" w14:textId="77777777" w:rsidR="0017725B" w:rsidRPr="0017725B" w:rsidRDefault="0017725B" w:rsidP="00E547CA">
            <w:pPr>
              <w:rPr>
                <w:b/>
                <w:u w:val="single"/>
              </w:rPr>
            </w:pPr>
          </w:p>
        </w:tc>
      </w:tr>
      <w:tr w:rsidR="00E7140E" w14:paraId="385CFFF8" w14:textId="77777777" w:rsidTr="00345119">
        <w:tc>
          <w:tcPr>
            <w:tcW w:w="9576" w:type="dxa"/>
          </w:tcPr>
          <w:p w14:paraId="376968C6" w14:textId="77777777" w:rsidR="008423E4" w:rsidRPr="00A8133F" w:rsidRDefault="00075172" w:rsidP="00E547C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1E55675" w14:textId="77777777" w:rsidR="008423E4" w:rsidRDefault="008423E4" w:rsidP="00E547CA"/>
          <w:p w14:paraId="535156F5" w14:textId="7281CDCB" w:rsidR="004475A6" w:rsidRDefault="00075172" w:rsidP="00E547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</w:t>
            </w:r>
            <w:r>
              <w:t>ll does not expressly grant any additional rulemaking authority to a state officer, department, agency, or institution.</w:t>
            </w:r>
          </w:p>
          <w:p w14:paraId="542C08DE" w14:textId="77777777" w:rsidR="008423E4" w:rsidRPr="00E21FDC" w:rsidRDefault="008423E4" w:rsidP="00E547CA">
            <w:pPr>
              <w:rPr>
                <w:b/>
              </w:rPr>
            </w:pPr>
          </w:p>
        </w:tc>
      </w:tr>
      <w:tr w:rsidR="00E7140E" w14:paraId="677405DD" w14:textId="77777777" w:rsidTr="00345119">
        <w:tc>
          <w:tcPr>
            <w:tcW w:w="9576" w:type="dxa"/>
          </w:tcPr>
          <w:p w14:paraId="62D4A655" w14:textId="77777777" w:rsidR="008423E4" w:rsidRPr="00A8133F" w:rsidRDefault="00075172" w:rsidP="00E547C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2FDF189" w14:textId="77777777" w:rsidR="008423E4" w:rsidRDefault="008423E4" w:rsidP="00E547CA"/>
          <w:p w14:paraId="0E7310A7" w14:textId="2810CA17" w:rsidR="00DF102C" w:rsidRDefault="00075172" w:rsidP="00E547CA">
            <w:pPr>
              <w:pStyle w:val="Header"/>
              <w:jc w:val="both"/>
            </w:pPr>
            <w:r>
              <w:t xml:space="preserve">H.B. 1726 </w:t>
            </w:r>
            <w:r w:rsidR="005D0FF7">
              <w:t>amends the Insurance Code to set out provisions relating to reimbursement and payment by a health benefit plan for telemedicine medical services</w:t>
            </w:r>
            <w:r w:rsidR="009A5667">
              <w:t xml:space="preserve">, </w:t>
            </w:r>
            <w:r w:rsidR="009A5667" w:rsidRPr="009A5667">
              <w:t>teledentistry dental services</w:t>
            </w:r>
            <w:r w:rsidR="009A5667">
              <w:t>,</w:t>
            </w:r>
            <w:r w:rsidR="005D0FF7">
              <w:t xml:space="preserve"> or telehealth services delivered to a covered patient by a preferred or contracted health professional</w:t>
            </w:r>
            <w:r>
              <w:t xml:space="preserve"> that do the following:</w:t>
            </w:r>
          </w:p>
          <w:p w14:paraId="5776FA8C" w14:textId="1617B8F8" w:rsidR="00DF102C" w:rsidRDefault="00075172" w:rsidP="00E547CA">
            <w:pPr>
              <w:pStyle w:val="Header"/>
              <w:numPr>
                <w:ilvl w:val="0"/>
                <w:numId w:val="3"/>
              </w:numPr>
              <w:jc w:val="both"/>
            </w:pPr>
            <w:r>
              <w:t>require an applicable health benefit plan issuer to reimburse a preferred or contracted health professional for providing a covered health care service or procedure as a telemedicine medical service</w:t>
            </w:r>
            <w:r w:rsidR="009A5667" w:rsidRPr="009A5667">
              <w:t>, teledentistry dental service,</w:t>
            </w:r>
            <w:r>
              <w:t xml:space="preserve"> or telehealth service on the same basis and at least at the same rate that the plan issuer provides reimbursement to that professional for the service or procedure in an in-person setting;</w:t>
            </w:r>
          </w:p>
          <w:p w14:paraId="61F38A7E" w14:textId="4EA9B0AD" w:rsidR="00DF102C" w:rsidRDefault="00075172" w:rsidP="00E547CA">
            <w:pPr>
              <w:pStyle w:val="Header"/>
              <w:numPr>
                <w:ilvl w:val="0"/>
                <w:numId w:val="3"/>
              </w:numPr>
              <w:jc w:val="both"/>
            </w:pPr>
            <w:r>
              <w:t>establish that a</w:t>
            </w:r>
            <w:r w:rsidR="005D0FF7">
              <w:t xml:space="preserve"> plan issuer is not required to pay more than the billed charge on a claim for payment by a preferred or contracted health professional or reimburse a preferred or contracted health professional for a telemedicine medical service</w:t>
            </w:r>
            <w:r w:rsidR="009A5667" w:rsidRPr="009A5667">
              <w:t>, teledentistry dental service,</w:t>
            </w:r>
            <w:r w:rsidR="005D0FF7">
              <w:t xml:space="preserve"> or telehealth service provided to a covered patient as part of a mutually agreed upon risk-based payment arrangement</w:t>
            </w:r>
            <w:r>
              <w:t>;</w:t>
            </w:r>
            <w:r w:rsidR="00AA7F4E">
              <w:t xml:space="preserve"> and</w:t>
            </w:r>
          </w:p>
          <w:p w14:paraId="25B79BC6" w14:textId="5EEBCEAA" w:rsidR="005D0FF7" w:rsidRDefault="00075172" w:rsidP="00E547CA">
            <w:pPr>
              <w:pStyle w:val="Header"/>
              <w:numPr>
                <w:ilvl w:val="0"/>
                <w:numId w:val="3"/>
              </w:numPr>
              <w:jc w:val="both"/>
            </w:pPr>
            <w:r>
              <w:t>prohibit a plan issuer, for purposes of processing payment of a claim, from requiring a preferred or contracted health professional to provide documentation of</w:t>
            </w:r>
            <w:r>
              <w:t xml:space="preserve"> a covered health care service or procedure delivered as a telemedicine medical service</w:t>
            </w:r>
            <w:r w:rsidR="009A5667" w:rsidRPr="009A5667">
              <w:t>, teledentistry dental service,</w:t>
            </w:r>
            <w:r>
              <w:t xml:space="preserve"> or telehealth service beyond that which is required for the service or procedure in an in‑person setting.</w:t>
            </w:r>
          </w:p>
          <w:p w14:paraId="154CCEEF" w14:textId="46933F82" w:rsidR="005D0FF7" w:rsidRDefault="005D0FF7" w:rsidP="00E547CA">
            <w:pPr>
              <w:pStyle w:val="Header"/>
              <w:jc w:val="both"/>
            </w:pPr>
          </w:p>
          <w:p w14:paraId="7F0D9BB8" w14:textId="781B4A12" w:rsidR="0039133E" w:rsidRDefault="00075172" w:rsidP="00E547CA">
            <w:pPr>
              <w:pStyle w:val="Header"/>
              <w:jc w:val="both"/>
            </w:pPr>
            <w:r>
              <w:t xml:space="preserve">H.B. 1726 </w:t>
            </w:r>
            <w:r w:rsidR="005D0FF7">
              <w:t>includes among the individuals classified as a health professional for purposes of provisions governing health benefit plan coverage for telemedicine</w:t>
            </w:r>
            <w:r w:rsidR="009A5667" w:rsidRPr="009A5667">
              <w:t>, teledentistry,</w:t>
            </w:r>
            <w:r w:rsidR="005D0FF7">
              <w:t xml:space="preserve"> and telehealth an individual who:</w:t>
            </w:r>
          </w:p>
          <w:p w14:paraId="2319026D" w14:textId="2C621699" w:rsidR="0039133E" w:rsidRDefault="00075172" w:rsidP="00E547C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is credentialed to provide qualified mental health professional community se</w:t>
            </w:r>
            <w:r>
              <w:t>rvices;</w:t>
            </w:r>
          </w:p>
          <w:p w14:paraId="5FE6AADE" w14:textId="22599EB7" w:rsidR="005D0FF7" w:rsidRDefault="00075172" w:rsidP="00E547C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has demonstrated and documented competency in the work to be performed;</w:t>
            </w:r>
          </w:p>
          <w:p w14:paraId="40BB4F8A" w14:textId="406FEF6E" w:rsidR="005D0FF7" w:rsidRDefault="00075172" w:rsidP="00E547C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is acting within the scope of the individual's license or other authorization issued by the state and does not perform a telemedicine medical service</w:t>
            </w:r>
            <w:r w:rsidR="0039133E" w:rsidRPr="0039133E">
              <w:t>;</w:t>
            </w:r>
            <w:r>
              <w:t xml:space="preserve"> and</w:t>
            </w:r>
          </w:p>
          <w:p w14:paraId="7DF9522F" w14:textId="4A9AB09F" w:rsidR="005D0FF7" w:rsidRDefault="00075172" w:rsidP="00E547CA">
            <w:pPr>
              <w:pStyle w:val="Header"/>
              <w:numPr>
                <w:ilvl w:val="0"/>
                <w:numId w:val="1"/>
              </w:numPr>
              <w:jc w:val="both"/>
            </w:pPr>
            <w:r>
              <w:t>meets one of the foll</w:t>
            </w:r>
            <w:r>
              <w:t>owing criteria:</w:t>
            </w:r>
          </w:p>
          <w:p w14:paraId="157A7D74" w14:textId="21411CBD" w:rsidR="005D0FF7" w:rsidRDefault="00075172" w:rsidP="00E547C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holds a bachelor's or more advanced degree from an accredited institution of higher education with</w:t>
            </w:r>
            <w:r w:rsidR="00C41EA7">
              <w:t xml:space="preserve"> </w:t>
            </w:r>
            <w:r>
              <w:t>qualifying coursework</w:t>
            </w:r>
            <w:r w:rsidR="00C41EA7">
              <w:t xml:space="preserve"> as specified by the bill</w:t>
            </w:r>
            <w:r>
              <w:t>;</w:t>
            </w:r>
          </w:p>
          <w:p w14:paraId="7C8B0F36" w14:textId="076A2FEE" w:rsidR="005D0FF7" w:rsidRDefault="00075172" w:rsidP="00E547C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is a registered nurse; or</w:t>
            </w:r>
          </w:p>
          <w:p w14:paraId="368D171B" w14:textId="2D12C60E" w:rsidR="005D0FF7" w:rsidRDefault="00075172" w:rsidP="00E547CA">
            <w:pPr>
              <w:pStyle w:val="Header"/>
              <w:numPr>
                <w:ilvl w:val="1"/>
                <w:numId w:val="1"/>
              </w:numPr>
              <w:jc w:val="both"/>
            </w:pPr>
            <w:r>
              <w:t>completes an alternative credentialing process identified by the He</w:t>
            </w:r>
            <w:r>
              <w:t>alth and Human Services Commission.</w:t>
            </w:r>
          </w:p>
          <w:p w14:paraId="2B9AAA14" w14:textId="4444D53C" w:rsidR="005D0FF7" w:rsidRDefault="00075172" w:rsidP="00E547CA">
            <w:pPr>
              <w:pStyle w:val="Header"/>
              <w:jc w:val="both"/>
            </w:pPr>
            <w:r>
              <w:t>The bill clarifies that a mental health professional who is acting within the scope of the</w:t>
            </w:r>
            <w:r w:rsidR="00903D21">
              <w:t xml:space="preserve"> professional's</w:t>
            </w:r>
            <w:r>
              <w:t xml:space="preserve"> license or certification and who does not perform a telemedicine medical service is also classified as a health pr</w:t>
            </w:r>
            <w:r>
              <w:t>ofessional for such purposes.</w:t>
            </w:r>
          </w:p>
          <w:p w14:paraId="677B794F" w14:textId="77777777" w:rsidR="005D0FF7" w:rsidRDefault="005D0FF7" w:rsidP="00E547CA">
            <w:pPr>
              <w:pStyle w:val="Header"/>
              <w:jc w:val="both"/>
            </w:pPr>
          </w:p>
          <w:p w14:paraId="3655FA06" w14:textId="77777777" w:rsidR="008423E4" w:rsidRDefault="00075172" w:rsidP="00E547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1726 </w:t>
            </w:r>
            <w:r w:rsidR="005D0FF7">
              <w:t>establishes that provisions governing health benefit plan coverage for telemedicine</w:t>
            </w:r>
            <w:r w:rsidR="00864555">
              <w:t>, teledentistry,</w:t>
            </w:r>
            <w:r w:rsidR="005D0FF7">
              <w:t xml:space="preserve"> and telehealth may not be waived, voided, or nullified by contract. The bill's changes to those provisions apply only to a health benefit plan delivered, issued for delivery, or renewed on or after January 1, </w:t>
            </w:r>
            <w:r>
              <w:t>2024.</w:t>
            </w:r>
          </w:p>
          <w:p w14:paraId="1759B4A6" w14:textId="34CCF814" w:rsidR="00267E07" w:rsidRPr="00835628" w:rsidRDefault="00267E07" w:rsidP="00E547C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E7140E" w14:paraId="2AB85BA6" w14:textId="77777777" w:rsidTr="00345119">
        <w:tc>
          <w:tcPr>
            <w:tcW w:w="9576" w:type="dxa"/>
          </w:tcPr>
          <w:p w14:paraId="6911ED03" w14:textId="77777777" w:rsidR="008423E4" w:rsidRPr="00A8133F" w:rsidRDefault="00075172" w:rsidP="00E547C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FBE8459" w14:textId="77777777" w:rsidR="008423E4" w:rsidRDefault="008423E4" w:rsidP="00E547CA"/>
          <w:p w14:paraId="7AE838A0" w14:textId="370E4CEA" w:rsidR="008423E4" w:rsidRPr="003624F2" w:rsidRDefault="00075172" w:rsidP="00E547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39D13A5A" w14:textId="77777777" w:rsidR="008423E4" w:rsidRPr="00233FDB" w:rsidRDefault="008423E4" w:rsidP="00E547CA">
            <w:pPr>
              <w:rPr>
                <w:b/>
              </w:rPr>
            </w:pPr>
          </w:p>
        </w:tc>
      </w:tr>
    </w:tbl>
    <w:p w14:paraId="7DA0B7AF" w14:textId="77777777" w:rsidR="008423E4" w:rsidRPr="00BE0E75" w:rsidRDefault="008423E4" w:rsidP="00E547CA">
      <w:pPr>
        <w:jc w:val="both"/>
        <w:rPr>
          <w:rFonts w:ascii="Arial" w:hAnsi="Arial"/>
          <w:sz w:val="16"/>
          <w:szCs w:val="16"/>
        </w:rPr>
      </w:pPr>
    </w:p>
    <w:p w14:paraId="19B3A040" w14:textId="77777777" w:rsidR="004108C3" w:rsidRPr="008423E4" w:rsidRDefault="004108C3" w:rsidP="00E547C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615E" w14:textId="77777777" w:rsidR="00000000" w:rsidRDefault="00075172">
      <w:r>
        <w:separator/>
      </w:r>
    </w:p>
  </w:endnote>
  <w:endnote w:type="continuationSeparator" w:id="0">
    <w:p w14:paraId="39D3B508" w14:textId="77777777" w:rsidR="00000000" w:rsidRDefault="0007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780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7140E" w14:paraId="7BEE6B23" w14:textId="77777777" w:rsidTr="009C1E9A">
      <w:trPr>
        <w:cantSplit/>
      </w:trPr>
      <w:tc>
        <w:tcPr>
          <w:tcW w:w="0" w:type="pct"/>
        </w:tcPr>
        <w:p w14:paraId="5E361A1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94684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471704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EECBFF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B8C2E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140E" w14:paraId="7621F508" w14:textId="77777777" w:rsidTr="009C1E9A">
      <w:trPr>
        <w:cantSplit/>
      </w:trPr>
      <w:tc>
        <w:tcPr>
          <w:tcW w:w="0" w:type="pct"/>
        </w:tcPr>
        <w:p w14:paraId="049106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AC5F9B1" w14:textId="1FB549F2" w:rsidR="00EC379B" w:rsidRPr="009C1E9A" w:rsidRDefault="0007517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28146-D</w:t>
          </w:r>
        </w:p>
      </w:tc>
      <w:tc>
        <w:tcPr>
          <w:tcW w:w="2453" w:type="pct"/>
        </w:tcPr>
        <w:p w14:paraId="2808D6B7" w14:textId="15E8E402" w:rsidR="00EC379B" w:rsidRDefault="0007517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3422A">
            <w:t>23.125.630</w:t>
          </w:r>
          <w:r>
            <w:fldChar w:fldCharType="end"/>
          </w:r>
        </w:p>
      </w:tc>
    </w:tr>
    <w:tr w:rsidR="00E7140E" w14:paraId="4CDD7C7C" w14:textId="77777777" w:rsidTr="009C1E9A">
      <w:trPr>
        <w:cantSplit/>
      </w:trPr>
      <w:tc>
        <w:tcPr>
          <w:tcW w:w="0" w:type="pct"/>
        </w:tcPr>
        <w:p w14:paraId="0FC229D9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6CC19B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F033793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97808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7140E" w14:paraId="6B055DB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7FD835A" w14:textId="77777777" w:rsidR="00EC379B" w:rsidRDefault="0007517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3A4F9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7EA60F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F38B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4B69" w14:textId="77777777" w:rsidR="00000000" w:rsidRDefault="00075172">
      <w:r>
        <w:separator/>
      </w:r>
    </w:p>
  </w:footnote>
  <w:footnote w:type="continuationSeparator" w:id="0">
    <w:p w14:paraId="675EA7CE" w14:textId="77777777" w:rsidR="00000000" w:rsidRDefault="0007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B8AF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6E4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D57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8305F"/>
    <w:multiLevelType w:val="hybridMultilevel"/>
    <w:tmpl w:val="E70E9284"/>
    <w:lvl w:ilvl="0" w:tplc="D7568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29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854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478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A6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2C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64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01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67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24190"/>
    <w:multiLevelType w:val="hybridMultilevel"/>
    <w:tmpl w:val="D6588436"/>
    <w:lvl w:ilvl="0" w:tplc="4CC6C8E0">
      <w:numFmt w:val="bullet"/>
      <w:lvlText w:val="·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DD4AF486">
      <w:numFmt w:val="bullet"/>
      <w:lvlText w:val=""/>
      <w:lvlJc w:val="left"/>
      <w:pPr>
        <w:ind w:left="1560" w:hanging="480"/>
      </w:pPr>
      <w:rPr>
        <w:rFonts w:ascii="Symbol" w:eastAsia="Times New Roman" w:hAnsi="Symbol" w:cs="Times New Roman" w:hint="default"/>
      </w:rPr>
    </w:lvl>
    <w:lvl w:ilvl="2" w:tplc="46B06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48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02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84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2A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055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2B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E758F"/>
    <w:multiLevelType w:val="hybridMultilevel"/>
    <w:tmpl w:val="94423482"/>
    <w:lvl w:ilvl="0" w:tplc="77021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45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030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CA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C8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72B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2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29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8C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146092">
    <w:abstractNumId w:val="2"/>
  </w:num>
  <w:num w:numId="2" w16cid:durableId="1523280277">
    <w:abstractNumId w:val="1"/>
  </w:num>
  <w:num w:numId="3" w16cid:durableId="27829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F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5172"/>
    <w:rsid w:val="00076D7D"/>
    <w:rsid w:val="00080D95"/>
    <w:rsid w:val="00090E6B"/>
    <w:rsid w:val="00091B2C"/>
    <w:rsid w:val="00092ABC"/>
    <w:rsid w:val="00097AAF"/>
    <w:rsid w:val="00097D13"/>
    <w:rsid w:val="000A45FD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349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67E07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2B8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422A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133E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250C7"/>
    <w:rsid w:val="0043190E"/>
    <w:rsid w:val="004324E9"/>
    <w:rsid w:val="004350F3"/>
    <w:rsid w:val="00436980"/>
    <w:rsid w:val="00440370"/>
    <w:rsid w:val="00441016"/>
    <w:rsid w:val="00441F2F"/>
    <w:rsid w:val="0044228B"/>
    <w:rsid w:val="00442660"/>
    <w:rsid w:val="00442BE5"/>
    <w:rsid w:val="00447018"/>
    <w:rsid w:val="004475A6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157"/>
    <w:rsid w:val="00474927"/>
    <w:rsid w:val="00475913"/>
    <w:rsid w:val="00480080"/>
    <w:rsid w:val="004824A7"/>
    <w:rsid w:val="00483AF0"/>
    <w:rsid w:val="00484167"/>
    <w:rsid w:val="004868EE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255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41FD"/>
    <w:rsid w:val="00515466"/>
    <w:rsid w:val="005154F7"/>
    <w:rsid w:val="005159DE"/>
    <w:rsid w:val="005212BE"/>
    <w:rsid w:val="00523F30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9E1"/>
    <w:rsid w:val="00555034"/>
    <w:rsid w:val="005570D2"/>
    <w:rsid w:val="00561528"/>
    <w:rsid w:val="0056153F"/>
    <w:rsid w:val="00561B14"/>
    <w:rsid w:val="00562501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FF7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AEA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0EA"/>
    <w:rsid w:val="00804124"/>
    <w:rsid w:val="00805402"/>
    <w:rsid w:val="0080765F"/>
    <w:rsid w:val="00812BE3"/>
    <w:rsid w:val="00813C51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555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152E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2CDB"/>
    <w:rsid w:val="00903D21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03AA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667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05"/>
    <w:rsid w:val="00AA597A"/>
    <w:rsid w:val="00AA66AD"/>
    <w:rsid w:val="00AA67A3"/>
    <w:rsid w:val="00AA7E52"/>
    <w:rsid w:val="00AA7F4E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077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7A4E"/>
    <w:rsid w:val="00B6104E"/>
    <w:rsid w:val="00B610C7"/>
    <w:rsid w:val="00B62106"/>
    <w:rsid w:val="00B626A8"/>
    <w:rsid w:val="00B65695"/>
    <w:rsid w:val="00B66110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19DA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1EA7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102C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47CA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40E"/>
    <w:rsid w:val="00E73CB9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4BA8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488F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722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56085"/>
    <w:rsid w:val="00F614C5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4A5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6763B2-444A-483E-8EEC-7C10B611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A56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56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56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5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5667"/>
    <w:rPr>
      <w:b/>
      <w:bCs/>
    </w:rPr>
  </w:style>
  <w:style w:type="paragraph" w:styleId="Revision">
    <w:name w:val="Revision"/>
    <w:hidden/>
    <w:uiPriority w:val="99"/>
    <w:semiHidden/>
    <w:rsid w:val="008030EA"/>
    <w:rPr>
      <w:sz w:val="24"/>
      <w:szCs w:val="24"/>
    </w:rPr>
  </w:style>
  <w:style w:type="character" w:styleId="Hyperlink">
    <w:name w:val="Hyperlink"/>
    <w:basedOn w:val="DefaultParagraphFont"/>
    <w:unhideWhenUsed/>
    <w:rsid w:val="00F560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6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4028</Characters>
  <Application>Microsoft Office Word</Application>
  <DocSecurity>4</DocSecurity>
  <Lines>87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HB01726 (Committee Report (Unamended))</vt:lpstr>
    </vt:vector>
  </TitlesOfParts>
  <Company>State of Texas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28146</dc:subject>
  <dc:creator>State of Texas</dc:creator>
  <dc:description>HB 1726 by Hernandez-(H)Insurance</dc:description>
  <cp:lastModifiedBy>Stacey Nicchio</cp:lastModifiedBy>
  <cp:revision>2</cp:revision>
  <cp:lastPrinted>2003-11-26T17:21:00Z</cp:lastPrinted>
  <dcterms:created xsi:type="dcterms:W3CDTF">2023-05-05T23:17:00Z</dcterms:created>
  <dcterms:modified xsi:type="dcterms:W3CDTF">2023-05-05T23:17:00Z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23.125.630</vt:lpwstr>
  </property>
</Properties>
</file>