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E5974" w14:paraId="7D3F2ADD" w14:textId="77777777" w:rsidTr="00345119">
        <w:tc>
          <w:tcPr>
            <w:tcW w:w="9576" w:type="dxa"/>
            <w:noWrap/>
          </w:tcPr>
          <w:p w14:paraId="78840EF8" w14:textId="77777777" w:rsidR="008423E4" w:rsidRPr="0022177D" w:rsidRDefault="00200324" w:rsidP="00D12291">
            <w:pPr>
              <w:pStyle w:val="Heading1"/>
            </w:pPr>
            <w:r w:rsidRPr="00631897">
              <w:t>BILL ANALYSIS</w:t>
            </w:r>
          </w:p>
        </w:tc>
      </w:tr>
    </w:tbl>
    <w:p w14:paraId="7B5C5A57" w14:textId="77777777" w:rsidR="008423E4" w:rsidRPr="0022177D" w:rsidRDefault="008423E4" w:rsidP="00D12291">
      <w:pPr>
        <w:jc w:val="center"/>
      </w:pPr>
    </w:p>
    <w:p w14:paraId="2102B7C4" w14:textId="77777777" w:rsidR="008423E4" w:rsidRPr="00B31F0E" w:rsidRDefault="008423E4" w:rsidP="00D12291"/>
    <w:p w14:paraId="00508CEF" w14:textId="77777777" w:rsidR="008423E4" w:rsidRPr="00742794" w:rsidRDefault="008423E4" w:rsidP="00D1229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E5974" w14:paraId="59BF1D96" w14:textId="77777777" w:rsidTr="00345119">
        <w:tc>
          <w:tcPr>
            <w:tcW w:w="9576" w:type="dxa"/>
          </w:tcPr>
          <w:p w14:paraId="2D3B5F2D" w14:textId="34AAF259" w:rsidR="008423E4" w:rsidRPr="00861995" w:rsidRDefault="00200324" w:rsidP="00D12291">
            <w:pPr>
              <w:jc w:val="right"/>
            </w:pPr>
            <w:r>
              <w:t>C.S.H.B. 1766</w:t>
            </w:r>
          </w:p>
        </w:tc>
      </w:tr>
      <w:tr w:rsidR="007E5974" w14:paraId="67B8793B" w14:textId="77777777" w:rsidTr="00345119">
        <w:tc>
          <w:tcPr>
            <w:tcW w:w="9576" w:type="dxa"/>
          </w:tcPr>
          <w:p w14:paraId="13DEDC5C" w14:textId="68F01E0B" w:rsidR="008423E4" w:rsidRPr="00861995" w:rsidRDefault="00200324" w:rsidP="00D12291">
            <w:pPr>
              <w:jc w:val="right"/>
            </w:pPr>
            <w:r>
              <w:t xml:space="preserve">By: </w:t>
            </w:r>
            <w:r w:rsidR="00F830C8">
              <w:t>Darby</w:t>
            </w:r>
          </w:p>
        </w:tc>
      </w:tr>
      <w:tr w:rsidR="007E5974" w14:paraId="14A0E3A1" w14:textId="77777777" w:rsidTr="00345119">
        <w:tc>
          <w:tcPr>
            <w:tcW w:w="9576" w:type="dxa"/>
          </w:tcPr>
          <w:p w14:paraId="2B0FB509" w14:textId="1AD966D6" w:rsidR="008423E4" w:rsidRPr="00861995" w:rsidRDefault="00200324" w:rsidP="00D12291">
            <w:pPr>
              <w:jc w:val="right"/>
            </w:pPr>
            <w:r>
              <w:t>Pensions, Investments &amp; Financial Services</w:t>
            </w:r>
          </w:p>
        </w:tc>
      </w:tr>
      <w:tr w:rsidR="007E5974" w14:paraId="44CDE2EA" w14:textId="77777777" w:rsidTr="00345119">
        <w:tc>
          <w:tcPr>
            <w:tcW w:w="9576" w:type="dxa"/>
          </w:tcPr>
          <w:p w14:paraId="7B49444B" w14:textId="5823D57D" w:rsidR="008423E4" w:rsidRDefault="00200324" w:rsidP="00D12291">
            <w:pPr>
              <w:jc w:val="right"/>
            </w:pPr>
            <w:r>
              <w:t>Committee Report (Substituted)</w:t>
            </w:r>
          </w:p>
        </w:tc>
      </w:tr>
    </w:tbl>
    <w:p w14:paraId="2986F39D" w14:textId="77777777" w:rsidR="008423E4" w:rsidRDefault="008423E4" w:rsidP="00D12291">
      <w:pPr>
        <w:tabs>
          <w:tab w:val="right" w:pos="9360"/>
        </w:tabs>
      </w:pPr>
    </w:p>
    <w:p w14:paraId="393CA840" w14:textId="77777777" w:rsidR="008423E4" w:rsidRDefault="008423E4" w:rsidP="00D12291"/>
    <w:p w14:paraId="670F6D66" w14:textId="77777777" w:rsidR="008423E4" w:rsidRDefault="008423E4" w:rsidP="00D1229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E5974" w14:paraId="29ED2DE5" w14:textId="77777777" w:rsidTr="00345119">
        <w:tc>
          <w:tcPr>
            <w:tcW w:w="9576" w:type="dxa"/>
          </w:tcPr>
          <w:p w14:paraId="55E4CD33" w14:textId="77777777" w:rsidR="008423E4" w:rsidRPr="00A8133F" w:rsidRDefault="00200324" w:rsidP="00D1229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5A113FD" w14:textId="77777777" w:rsidR="008423E4" w:rsidRDefault="008423E4" w:rsidP="00D12291"/>
          <w:p w14:paraId="51ACC8A1" w14:textId="6F06F6A1" w:rsidR="00366C7B" w:rsidRDefault="00200324" w:rsidP="00D122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</w:t>
            </w:r>
            <w:r w:rsidRPr="00366C7B">
              <w:t xml:space="preserve">ousing </w:t>
            </w:r>
            <w:r>
              <w:t>in many parts of Texas is becoming increasingly unaffordable.</w:t>
            </w:r>
            <w:r w:rsidR="00064FB0">
              <w:t xml:space="preserve"> One driver </w:t>
            </w:r>
            <w:r w:rsidR="00064FB0" w:rsidRPr="00321D05">
              <w:t>of this</w:t>
            </w:r>
            <w:r w:rsidR="00321D05">
              <w:t xml:space="preserve"> unaffordability</w:t>
            </w:r>
            <w:r w:rsidR="00064FB0">
              <w:t xml:space="preserve"> is the lack of available housing stock. </w:t>
            </w:r>
            <w:r w:rsidRPr="00366C7B">
              <w:t xml:space="preserve">Freddie Mac estimates a current shortage of more than 500,000 homes in Texas alone. </w:t>
            </w:r>
          </w:p>
          <w:p w14:paraId="01EFE8AB" w14:textId="77777777" w:rsidR="00366C7B" w:rsidRDefault="00366C7B" w:rsidP="00D122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21F0F48" w14:textId="7A596627" w:rsidR="00EE3ACD" w:rsidRDefault="00200324" w:rsidP="00D122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</w:t>
            </w:r>
            <w:r w:rsidRPr="00366C7B">
              <w:t>he Texas Department of Housing and Community Affairs (TDHCA)</w:t>
            </w:r>
            <w:r>
              <w:t xml:space="preserve"> administers</w:t>
            </w:r>
            <w:r w:rsidRPr="00366C7B">
              <w:t xml:space="preserve"> </w:t>
            </w:r>
            <w:r>
              <w:t>a</w:t>
            </w:r>
            <w:r w:rsidRPr="00366C7B">
              <w:t xml:space="preserve"> </w:t>
            </w:r>
            <w:r w:rsidR="00E84B6A">
              <w:t>Non</w:t>
            </w:r>
            <w:r w:rsidR="00D12291">
              <w:noBreakHyphen/>
            </w:r>
            <w:r w:rsidR="00E84B6A">
              <w:t>Competitive (4</w:t>
            </w:r>
            <w:r w:rsidR="00D12291">
              <w:t>%</w:t>
            </w:r>
            <w:r w:rsidR="00F52CB7">
              <w:t xml:space="preserve">) </w:t>
            </w:r>
            <w:r w:rsidRPr="00366C7B">
              <w:t>Low-Income Housi</w:t>
            </w:r>
            <w:r w:rsidRPr="00366C7B">
              <w:t xml:space="preserve">ng Tax Credit </w:t>
            </w:r>
            <w:r w:rsidR="00E84B6A">
              <w:t>program</w:t>
            </w:r>
            <w:r w:rsidRPr="00366C7B">
              <w:t>.</w:t>
            </w:r>
            <w:r>
              <w:t xml:space="preserve"> </w:t>
            </w:r>
            <w:r w:rsidR="00E84B6A">
              <w:t>This</w:t>
            </w:r>
            <w:r w:rsidRPr="00366C7B">
              <w:t xml:space="preserve"> program</w:t>
            </w:r>
            <w:r w:rsidR="00E84B6A">
              <w:t>, which, according to TDHCA, directs capital toward the development and preservation of afforda</w:t>
            </w:r>
            <w:r w:rsidR="001312F8">
              <w:t>ble</w:t>
            </w:r>
            <w:r w:rsidR="00E84B6A">
              <w:t xml:space="preserve"> rental housing for low-income households,</w:t>
            </w:r>
            <w:r w:rsidRPr="00366C7B">
              <w:t xml:space="preserve"> is critical in addressing the ongoing housing crisis</w:t>
            </w:r>
            <w:r w:rsidR="00E84B6A">
              <w:t xml:space="preserve"> in Texas</w:t>
            </w:r>
            <w:r w:rsidRPr="00366C7B">
              <w:t xml:space="preserve">. </w:t>
            </w:r>
            <w:r w:rsidR="00F07C96">
              <w:t>A prerequisite to receiving one of these tax credits is that</w:t>
            </w:r>
            <w:r>
              <w:t xml:space="preserve"> </w:t>
            </w:r>
            <w:r w:rsidRPr="00366C7B">
              <w:t>at least 50</w:t>
            </w:r>
            <w:r>
              <w:t xml:space="preserve"> percent</w:t>
            </w:r>
            <w:r w:rsidRPr="00366C7B">
              <w:t xml:space="preserve"> </w:t>
            </w:r>
            <w:r>
              <w:t xml:space="preserve">of the funding for </w:t>
            </w:r>
            <w:r w:rsidR="00F07C96">
              <w:t>the</w:t>
            </w:r>
            <w:r>
              <w:t xml:space="preserve"> project come</w:t>
            </w:r>
            <w:r w:rsidR="00F07C96">
              <w:t>s</w:t>
            </w:r>
            <w:r>
              <w:t xml:space="preserve"> from</w:t>
            </w:r>
            <w:r w:rsidRPr="00366C7B">
              <w:t xml:space="preserve"> private activity bonds</w:t>
            </w:r>
            <w:r>
              <w:t>, which</w:t>
            </w:r>
            <w:r w:rsidR="00E84B6A">
              <w:t>, in Texas,</w:t>
            </w:r>
            <w:r>
              <w:t xml:space="preserve"> are</w:t>
            </w:r>
            <w:r w:rsidRPr="00366C7B">
              <w:t xml:space="preserve"> issued annually by the Bond Review Board. </w:t>
            </w:r>
          </w:p>
          <w:p w14:paraId="52BD5212" w14:textId="77777777" w:rsidR="00EE3ACD" w:rsidRDefault="00EE3ACD" w:rsidP="00D122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F88B16B" w14:textId="1D8DAF51" w:rsidR="008423E4" w:rsidRDefault="00200324" w:rsidP="00D122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366C7B" w:rsidRPr="00366C7B">
              <w:t>urrent</w:t>
            </w:r>
            <w:r>
              <w:t>ly, no</w:t>
            </w:r>
            <w:r w:rsidR="00366C7B" w:rsidRPr="00366C7B">
              <w:t xml:space="preserve"> limit exists for </w:t>
            </w:r>
            <w:r w:rsidR="00F07C96">
              <w:t xml:space="preserve">how much of the total cost of a project may be financed </w:t>
            </w:r>
            <w:r w:rsidR="00366C7B" w:rsidRPr="00366C7B">
              <w:t>us</w:t>
            </w:r>
            <w:r w:rsidR="00F07C96">
              <w:t>ing</w:t>
            </w:r>
            <w:r w:rsidR="00366C7B" w:rsidRPr="00366C7B">
              <w:t xml:space="preserve"> </w:t>
            </w:r>
            <w:r>
              <w:t xml:space="preserve">these </w:t>
            </w:r>
            <w:r w:rsidR="00366C7B" w:rsidRPr="00366C7B">
              <w:t xml:space="preserve">private activity bonds, </w:t>
            </w:r>
            <w:r w:rsidR="00F07C96">
              <w:t>which can lead to developers using the bonds to cover far more than the 50 percent of costs required</w:t>
            </w:r>
            <w:r>
              <w:t xml:space="preserve"> to receive the tax credit</w:t>
            </w:r>
            <w:r w:rsidR="00F07C96">
              <w:t>. This</w:t>
            </w:r>
            <w:r w:rsidR="00366C7B" w:rsidRPr="00366C7B">
              <w:t xml:space="preserve"> dilut</w:t>
            </w:r>
            <w:r w:rsidR="00F07C96">
              <w:t>es</w:t>
            </w:r>
            <w:r w:rsidR="00366C7B" w:rsidRPr="00366C7B">
              <w:t xml:space="preserve"> the </w:t>
            </w:r>
            <w:r w:rsidR="00F07C96">
              <w:t>pool of available private activity bond funding</w:t>
            </w:r>
            <w:r w:rsidR="00366C7B" w:rsidRPr="00366C7B">
              <w:t xml:space="preserve"> and </w:t>
            </w:r>
            <w:r w:rsidR="00F07C96">
              <w:t xml:space="preserve">in turn reduces the </w:t>
            </w:r>
            <w:r w:rsidR="00366C7B" w:rsidRPr="00366C7B">
              <w:t xml:space="preserve">number of projects ultimately built in Texas. </w:t>
            </w:r>
            <w:r w:rsidR="00F07C96" w:rsidRPr="00FB165C">
              <w:t>Instituting a</w:t>
            </w:r>
            <w:r w:rsidR="00366C7B" w:rsidRPr="00FB165C">
              <w:t xml:space="preserve"> </w:t>
            </w:r>
            <w:r w:rsidRPr="00FB165C">
              <w:t>cap</w:t>
            </w:r>
            <w:r w:rsidR="00366C7B" w:rsidRPr="00FB165C">
              <w:t xml:space="preserve"> </w:t>
            </w:r>
            <w:r w:rsidR="00FB165C">
              <w:t>on the percentage</w:t>
            </w:r>
            <w:r w:rsidR="00F07C96" w:rsidRPr="009D2E62">
              <w:t xml:space="preserve"> of</w:t>
            </w:r>
            <w:r w:rsidR="00F07C96">
              <w:t xml:space="preserve"> a project</w:t>
            </w:r>
            <w:r>
              <w:t>'s costs</w:t>
            </w:r>
            <w:r w:rsidR="00F07C96">
              <w:t xml:space="preserve"> </w:t>
            </w:r>
            <w:r w:rsidR="00FB165C">
              <w:t xml:space="preserve">that may </w:t>
            </w:r>
            <w:r w:rsidR="00F07C96">
              <w:t>be financed with private activity bonds could</w:t>
            </w:r>
            <w:r w:rsidR="00366C7B" w:rsidRPr="00366C7B">
              <w:t xml:space="preserve"> result in more vital housing projects </w:t>
            </w:r>
            <w:r w:rsidR="00F07C96">
              <w:t xml:space="preserve">being built </w:t>
            </w:r>
            <w:r w:rsidR="00366C7B" w:rsidRPr="00366C7B">
              <w:t xml:space="preserve">with the </w:t>
            </w:r>
            <w:r w:rsidR="00F41DC7">
              <w:t xml:space="preserve">same </w:t>
            </w:r>
            <w:r w:rsidR="00366C7B" w:rsidRPr="009D2E62">
              <w:t>amount of bond</w:t>
            </w:r>
            <w:r w:rsidR="00F07C96" w:rsidRPr="009D2E62">
              <w:t xml:space="preserve"> funding</w:t>
            </w:r>
            <w:r w:rsidR="00366C7B" w:rsidRPr="00366C7B">
              <w:t>.</w:t>
            </w:r>
            <w:r w:rsidR="00366C7B">
              <w:t xml:space="preserve"> </w:t>
            </w:r>
            <w:r w:rsidR="00F07C96">
              <w:t>C.S.</w:t>
            </w:r>
            <w:r w:rsidR="00366C7B" w:rsidRPr="00366C7B">
              <w:t>H</w:t>
            </w:r>
            <w:r w:rsidR="00F07C96">
              <w:t>.</w:t>
            </w:r>
            <w:r w:rsidR="00366C7B" w:rsidRPr="00366C7B">
              <w:t>B</w:t>
            </w:r>
            <w:r w:rsidR="00F07C96">
              <w:t>.</w:t>
            </w:r>
            <w:r w:rsidR="00881CE2">
              <w:t> </w:t>
            </w:r>
            <w:r w:rsidR="00366C7B" w:rsidRPr="00366C7B">
              <w:t xml:space="preserve">1766 </w:t>
            </w:r>
            <w:r w:rsidR="00F07C96">
              <w:t xml:space="preserve">seeks to institute </w:t>
            </w:r>
            <w:r w:rsidR="00366C7B" w:rsidRPr="00FB165C">
              <w:t>a</w:t>
            </w:r>
            <w:r w:rsidRPr="00FB165C">
              <w:t xml:space="preserve"> conditional</w:t>
            </w:r>
            <w:r w:rsidR="00366C7B" w:rsidRPr="00366C7B">
              <w:t xml:space="preserve"> 55</w:t>
            </w:r>
            <w:r w:rsidR="00F07C96">
              <w:t xml:space="preserve"> percent</w:t>
            </w:r>
            <w:r w:rsidR="00366C7B" w:rsidRPr="00366C7B">
              <w:t xml:space="preserve"> bond </w:t>
            </w:r>
            <w:r w:rsidR="00F07C96">
              <w:t xml:space="preserve">financing </w:t>
            </w:r>
            <w:r w:rsidR="00366C7B" w:rsidRPr="00366C7B">
              <w:t xml:space="preserve">cap </w:t>
            </w:r>
            <w:r>
              <w:t xml:space="preserve">applicable </w:t>
            </w:r>
            <w:r w:rsidR="00366C7B" w:rsidRPr="00FB165C">
              <w:t>in a year</w:t>
            </w:r>
            <w:r>
              <w:t xml:space="preserve"> when</w:t>
            </w:r>
            <w:r w:rsidRPr="00366C7B">
              <w:t xml:space="preserve"> </w:t>
            </w:r>
            <w:r w:rsidR="00366C7B" w:rsidRPr="00366C7B">
              <w:t xml:space="preserve">demand for </w:t>
            </w:r>
            <w:r w:rsidR="00F07C96">
              <w:t>these</w:t>
            </w:r>
            <w:r w:rsidR="00366C7B" w:rsidRPr="00366C7B">
              <w:t xml:space="preserve"> bonds </w:t>
            </w:r>
            <w:r>
              <w:t>is high</w:t>
            </w:r>
            <w:r w:rsidR="00366C7B" w:rsidRPr="00366C7B">
              <w:t xml:space="preserve">. </w:t>
            </w:r>
          </w:p>
          <w:p w14:paraId="4A0B2DE9" w14:textId="77777777" w:rsidR="008423E4" w:rsidRPr="00E26B13" w:rsidRDefault="008423E4" w:rsidP="00D12291">
            <w:pPr>
              <w:rPr>
                <w:b/>
              </w:rPr>
            </w:pPr>
          </w:p>
        </w:tc>
      </w:tr>
      <w:tr w:rsidR="007E5974" w14:paraId="454A8D50" w14:textId="77777777" w:rsidTr="00345119">
        <w:tc>
          <w:tcPr>
            <w:tcW w:w="9576" w:type="dxa"/>
          </w:tcPr>
          <w:p w14:paraId="0B067366" w14:textId="77777777" w:rsidR="0017725B" w:rsidRDefault="00200324" w:rsidP="00D122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185D54B" w14:textId="77777777" w:rsidR="0017725B" w:rsidRDefault="0017725B" w:rsidP="00D12291">
            <w:pPr>
              <w:rPr>
                <w:b/>
                <w:u w:val="single"/>
              </w:rPr>
            </w:pPr>
          </w:p>
          <w:p w14:paraId="16EBA5C2" w14:textId="6942BBBF" w:rsidR="000A0BDD" w:rsidRPr="000A0BDD" w:rsidRDefault="00200324" w:rsidP="00D12291">
            <w:pPr>
              <w:jc w:val="both"/>
            </w:pPr>
            <w:r>
              <w:t xml:space="preserve">It is the committee's opinion that this bill </w:t>
            </w:r>
            <w:r>
              <w:t>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ADE82BD" w14:textId="77777777" w:rsidR="0017725B" w:rsidRPr="0017725B" w:rsidRDefault="0017725B" w:rsidP="00D12291">
            <w:pPr>
              <w:rPr>
                <w:b/>
                <w:u w:val="single"/>
              </w:rPr>
            </w:pPr>
          </w:p>
        </w:tc>
      </w:tr>
      <w:tr w:rsidR="007E5974" w14:paraId="570F1269" w14:textId="77777777" w:rsidTr="00345119">
        <w:tc>
          <w:tcPr>
            <w:tcW w:w="9576" w:type="dxa"/>
          </w:tcPr>
          <w:p w14:paraId="581C0B41" w14:textId="77777777" w:rsidR="008423E4" w:rsidRPr="00A8133F" w:rsidRDefault="00200324" w:rsidP="00D1229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6E8AA9C" w14:textId="77777777" w:rsidR="008423E4" w:rsidRDefault="008423E4" w:rsidP="00D12291"/>
          <w:p w14:paraId="46DCFE29" w14:textId="270F35D3" w:rsidR="000A0BDD" w:rsidRDefault="00200324" w:rsidP="00D122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</w:t>
            </w:r>
            <w:r>
              <w:t>s the committee's opinion that this bill does not expressly grant any additional rulemaking authority to a state officer, department, agency, or institution.</w:t>
            </w:r>
          </w:p>
          <w:p w14:paraId="1E0F968B" w14:textId="77777777" w:rsidR="008423E4" w:rsidRPr="00E21FDC" w:rsidRDefault="008423E4" w:rsidP="00D12291">
            <w:pPr>
              <w:rPr>
                <w:b/>
              </w:rPr>
            </w:pPr>
          </w:p>
        </w:tc>
      </w:tr>
      <w:tr w:rsidR="007E5974" w14:paraId="277B24E3" w14:textId="77777777" w:rsidTr="00345119">
        <w:tc>
          <w:tcPr>
            <w:tcW w:w="9576" w:type="dxa"/>
          </w:tcPr>
          <w:p w14:paraId="78421DA8" w14:textId="77777777" w:rsidR="008423E4" w:rsidRPr="00A8133F" w:rsidRDefault="00200324" w:rsidP="00D1229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FAC9483" w14:textId="77777777" w:rsidR="00D32E16" w:rsidRDefault="00D32E16" w:rsidP="00D12291">
            <w:pPr>
              <w:pStyle w:val="Header"/>
              <w:jc w:val="both"/>
            </w:pPr>
          </w:p>
          <w:p w14:paraId="5AF74E77" w14:textId="09B6AA36" w:rsidR="000E30B6" w:rsidRPr="00103F6E" w:rsidRDefault="00200324" w:rsidP="00D12291">
            <w:pPr>
              <w:pStyle w:val="Header"/>
              <w:jc w:val="both"/>
            </w:pPr>
            <w:r>
              <w:t xml:space="preserve">C.S.H.B. 1766 </w:t>
            </w:r>
            <w:r w:rsidR="008C02ED">
              <w:t xml:space="preserve">amends the Government Code to </w:t>
            </w:r>
            <w:r w:rsidR="00D711E3" w:rsidRPr="00103F6E">
              <w:t>add a new first order of priority for</w:t>
            </w:r>
            <w:r w:rsidRPr="00103F6E">
              <w:t xml:space="preserve"> </w:t>
            </w:r>
            <w:r w:rsidR="000A0BDD" w:rsidRPr="00103F6E">
              <w:t>the Bond Review Board</w:t>
            </w:r>
            <w:r w:rsidRPr="00103F6E">
              <w:t xml:space="preserve"> in granting reservations</w:t>
            </w:r>
            <w:r w:rsidR="00A14684" w:rsidRPr="00103F6E">
              <w:t xml:space="preserve"> </w:t>
            </w:r>
            <w:r w:rsidRPr="00103F6E">
              <w:t>to issuers of qualified residential rental project issues</w:t>
            </w:r>
            <w:r w:rsidR="003B7AC6" w:rsidRPr="00103F6E">
              <w:t xml:space="preserve"> for a portion of the state ceiling on the amount of tax-exempt private activity bonds that may be issued during a calendar year in Texas</w:t>
            </w:r>
            <w:r w:rsidR="00D711E3" w:rsidRPr="00103F6E">
              <w:t>.</w:t>
            </w:r>
            <w:r w:rsidRPr="00103F6E">
              <w:t xml:space="preserve"> </w:t>
            </w:r>
            <w:r w:rsidR="00D711E3" w:rsidRPr="00103F6E">
              <w:t>This</w:t>
            </w:r>
            <w:r w:rsidR="0066389E" w:rsidRPr="00103F6E">
              <w:t xml:space="preserve"> first priority </w:t>
            </w:r>
            <w:r w:rsidR="00D711E3" w:rsidRPr="00103F6E">
              <w:t xml:space="preserve">is for </w:t>
            </w:r>
            <w:r w:rsidR="0066389E" w:rsidRPr="00103F6E">
              <w:t>projects that</w:t>
            </w:r>
            <w:r w:rsidR="00D711E3" w:rsidRPr="00103F6E">
              <w:t>, as</w:t>
            </w:r>
            <w:r w:rsidR="0066389E" w:rsidRPr="00103F6E">
              <w:t xml:space="preserve"> follow</w:t>
            </w:r>
            <w:r w:rsidR="00D711E3" w:rsidRPr="00103F6E">
              <w:t>s</w:t>
            </w:r>
            <w:r w:rsidR="004A3EAF" w:rsidRPr="00103F6E">
              <w:t>:</w:t>
            </w:r>
          </w:p>
          <w:p w14:paraId="11885419" w14:textId="0D29F909" w:rsidR="00D711E3" w:rsidRPr="00103F6E" w:rsidRDefault="00200324" w:rsidP="00D12291">
            <w:pPr>
              <w:pStyle w:val="Header"/>
              <w:numPr>
                <w:ilvl w:val="0"/>
                <w:numId w:val="1"/>
              </w:numPr>
              <w:jc w:val="both"/>
            </w:pPr>
            <w:r w:rsidRPr="00103F6E">
              <w:t xml:space="preserve">during the </w:t>
            </w:r>
            <w:r w:rsidR="0045255B">
              <w:t>four</w:t>
            </w:r>
            <w:r w:rsidRPr="00103F6E">
              <w:t xml:space="preserve">-year period preceding the date of the application, have </w:t>
            </w:r>
            <w:r w:rsidR="0045255B">
              <w:t xml:space="preserve">both </w:t>
            </w:r>
            <w:r w:rsidR="0045255B" w:rsidRPr="0045255B">
              <w:t xml:space="preserve">filed an application for a low-income housing tax credit with the Texas Department of Housing and Community Affairs </w:t>
            </w:r>
            <w:r w:rsidR="00917614">
              <w:t xml:space="preserve">(TDHCA) </w:t>
            </w:r>
            <w:r w:rsidR="0045255B" w:rsidRPr="0045255B">
              <w:t>and</w:t>
            </w:r>
            <w:r w:rsidR="0045255B">
              <w:t xml:space="preserve"> </w:t>
            </w:r>
            <w:r w:rsidRPr="00103F6E">
              <w:t xml:space="preserve">closed on a previous reservation of bonds </w:t>
            </w:r>
            <w:r w:rsidR="003B7AC6" w:rsidRPr="00103F6E">
              <w:t xml:space="preserve">in accordance with applicable state law, </w:t>
            </w:r>
            <w:r w:rsidRPr="00103F6E">
              <w:t xml:space="preserve">as determined </w:t>
            </w:r>
            <w:r w:rsidR="00A84714" w:rsidRPr="0018224F">
              <w:t>b</w:t>
            </w:r>
            <w:r w:rsidR="0018224F">
              <w:t>ased on</w:t>
            </w:r>
            <w:r w:rsidRPr="0018224F">
              <w:t xml:space="preserve"> the</w:t>
            </w:r>
            <w:r w:rsidRPr="00103F6E">
              <w:t xml:space="preserve"> date of allocation</w:t>
            </w:r>
            <w:r w:rsidRPr="00103F6E">
              <w:t xml:space="preserve"> of those bonds;</w:t>
            </w:r>
          </w:p>
          <w:p w14:paraId="56E5EA38" w14:textId="1E439561" w:rsidR="000B6ED0" w:rsidRDefault="00200324" w:rsidP="00D12291">
            <w:pPr>
              <w:pStyle w:val="Header"/>
              <w:numPr>
                <w:ilvl w:val="0"/>
                <w:numId w:val="1"/>
              </w:numPr>
              <w:jc w:val="both"/>
            </w:pPr>
            <w:r w:rsidRPr="00103F6E">
              <w:t xml:space="preserve">require a subsequent issuance of bonds to maintain </w:t>
            </w:r>
            <w:r w:rsidR="003B7AC6" w:rsidRPr="00103F6E">
              <w:t xml:space="preserve">compliance with </w:t>
            </w:r>
            <w:r w:rsidR="003B7AC6" w:rsidRPr="009D2E62">
              <w:t>the financing percentage requirements to qualify for the</w:t>
            </w:r>
            <w:r w:rsidR="00A84714" w:rsidRPr="009D2E62">
              <w:t xml:space="preserve"> low-income housing tax credit </w:t>
            </w:r>
            <w:r w:rsidR="003B7AC6" w:rsidRPr="009D2E62">
              <w:t>available for</w:t>
            </w:r>
            <w:r w:rsidR="00A84714" w:rsidRPr="009D2E62">
              <w:t xml:space="preserve"> multifamily transaction</w:t>
            </w:r>
            <w:r w:rsidR="003B7AC6" w:rsidRPr="009D2E62">
              <w:t>s</w:t>
            </w:r>
            <w:r w:rsidR="00A84714" w:rsidRPr="009D2E62">
              <w:t xml:space="preserve"> </w:t>
            </w:r>
            <w:r w:rsidR="003B7AC6" w:rsidRPr="009D2E62">
              <w:t xml:space="preserve">that are at least 51 percent </w:t>
            </w:r>
            <w:r w:rsidR="00A84714" w:rsidRPr="009D2E62">
              <w:t>financed by tax-exempt private activity bonds</w:t>
            </w:r>
            <w:r w:rsidR="0045255B">
              <w:t xml:space="preserve">; and </w:t>
            </w:r>
          </w:p>
          <w:p w14:paraId="485446DC" w14:textId="21C66C2D" w:rsidR="0045255B" w:rsidRDefault="00200324" w:rsidP="00D12291">
            <w:pPr>
              <w:pStyle w:val="Header"/>
              <w:numPr>
                <w:ilvl w:val="0"/>
                <w:numId w:val="1"/>
              </w:numPr>
              <w:jc w:val="both"/>
            </w:pPr>
            <w:r w:rsidRPr="0045255B">
              <w:t xml:space="preserve">have not previously applied for a subsequent issuance of </w:t>
            </w:r>
            <w:r w:rsidRPr="00F11FA5">
              <w:t>bonds</w:t>
            </w:r>
            <w:r w:rsidRPr="0045255B">
              <w:t>.</w:t>
            </w:r>
          </w:p>
          <w:p w14:paraId="194ACA0E" w14:textId="0B1EFFB7" w:rsidR="000C7C89" w:rsidRDefault="000C7C89" w:rsidP="00D12291">
            <w:pPr>
              <w:pStyle w:val="Header"/>
              <w:jc w:val="both"/>
            </w:pPr>
          </w:p>
          <w:p w14:paraId="36A96DB8" w14:textId="13271176" w:rsidR="008C02ED" w:rsidRDefault="00200324" w:rsidP="00D12291">
            <w:pPr>
              <w:pStyle w:val="Header"/>
              <w:jc w:val="both"/>
            </w:pPr>
            <w:r>
              <w:t>C.S.</w:t>
            </w:r>
            <w:r w:rsidR="001D20AF">
              <w:t>H.B. 1766</w:t>
            </w:r>
            <w:r w:rsidR="009276FC">
              <w:t xml:space="preserve">, with respect to a </w:t>
            </w:r>
            <w:r w:rsidR="009276FC" w:rsidRPr="00F11FA5">
              <w:t>project financed by an issuer</w:t>
            </w:r>
            <w:r w:rsidR="009276FC">
              <w:t xml:space="preserve"> of qualified residential rental project bonds </w:t>
            </w:r>
            <w:r w:rsidR="009276FC" w:rsidRPr="009276FC">
              <w:t xml:space="preserve">that </w:t>
            </w:r>
            <w:r w:rsidR="009276FC">
              <w:t>is</w:t>
            </w:r>
            <w:r w:rsidR="009276FC" w:rsidRPr="009276FC">
              <w:t xml:space="preserve"> granted a reservation of a portion of the available state ceiling for a program year</w:t>
            </w:r>
            <w:r w:rsidR="009276FC">
              <w:t xml:space="preserve"> in which </w:t>
            </w:r>
            <w:r w:rsidR="009276FC" w:rsidRPr="009276FC">
              <w:t xml:space="preserve">the total amount </w:t>
            </w:r>
            <w:r w:rsidR="009276FC" w:rsidRPr="00317D45">
              <w:t>of such bonds</w:t>
            </w:r>
            <w:r w:rsidR="009276FC" w:rsidRPr="009276FC">
              <w:t xml:space="preserve"> for which reservations are sought exceeds, as of October </w:t>
            </w:r>
            <w:r>
              <w:t>20 of the preceding year</w:t>
            </w:r>
            <w:r w:rsidR="009276FC" w:rsidRPr="009276FC">
              <w:t>, 55.75 percent of the state ceiling</w:t>
            </w:r>
            <w:r w:rsidR="009276FC">
              <w:t>,</w:t>
            </w:r>
            <w:r w:rsidR="001D20AF">
              <w:t xml:space="preserve"> </w:t>
            </w:r>
            <w:r w:rsidR="00103F6E">
              <w:t xml:space="preserve">caps </w:t>
            </w:r>
            <w:r w:rsidR="001D20AF">
              <w:t xml:space="preserve">the </w:t>
            </w:r>
            <w:r w:rsidR="001D20AF" w:rsidRPr="001D20AF">
              <w:t>amount of bonds</w:t>
            </w:r>
            <w:r w:rsidR="009276FC">
              <w:t xml:space="preserve"> </w:t>
            </w:r>
            <w:r w:rsidR="009276FC" w:rsidRPr="00F11FA5">
              <w:t>that may be</w:t>
            </w:r>
            <w:r w:rsidR="001D20AF" w:rsidRPr="001D20AF">
              <w:t xml:space="preserve"> </w:t>
            </w:r>
            <w:r>
              <w:t>issued</w:t>
            </w:r>
            <w:r w:rsidRPr="001D20AF">
              <w:t xml:space="preserve"> </w:t>
            </w:r>
            <w:r w:rsidR="001D20AF" w:rsidRPr="001D20AF">
              <w:t xml:space="preserve">to each </w:t>
            </w:r>
            <w:r w:rsidR="00103F6E">
              <w:t xml:space="preserve">such </w:t>
            </w:r>
            <w:r w:rsidR="001D20AF" w:rsidRPr="001D20AF">
              <w:t xml:space="preserve">project </w:t>
            </w:r>
            <w:r w:rsidR="009276FC">
              <w:t>at</w:t>
            </w:r>
            <w:r w:rsidR="001D20AF">
              <w:t xml:space="preserve"> </w:t>
            </w:r>
            <w:r w:rsidR="001D20AF" w:rsidRPr="001D20AF">
              <w:t>55 percent of the reasonably expected aggregate basis of the project and the land on which the project is or will be located</w:t>
            </w:r>
            <w:r w:rsidR="009276FC">
              <w:t xml:space="preserve">. </w:t>
            </w:r>
            <w:r w:rsidR="00D711E3">
              <w:t>The bill</w:t>
            </w:r>
            <w:r>
              <w:t xml:space="preserve"> requires </w:t>
            </w:r>
            <w:r w:rsidR="00A14684" w:rsidRPr="00A14684">
              <w:t xml:space="preserve">the attorney general </w:t>
            </w:r>
            <w:r w:rsidR="00A14684">
              <w:t>to</w:t>
            </w:r>
            <w:r w:rsidR="00A14684" w:rsidRPr="00A14684">
              <w:t xml:space="preserve"> certify </w:t>
            </w:r>
            <w:r w:rsidR="009276FC">
              <w:t>an</w:t>
            </w:r>
            <w:r w:rsidR="009276FC" w:rsidRPr="00A14684">
              <w:t xml:space="preserve"> </w:t>
            </w:r>
            <w:r w:rsidR="00A14684" w:rsidRPr="00A14684">
              <w:t xml:space="preserve">issuer's compliance with </w:t>
            </w:r>
            <w:r w:rsidR="009276FC" w:rsidRPr="00F11FA5">
              <w:t>this provision</w:t>
            </w:r>
            <w:r w:rsidR="00A14684" w:rsidRPr="00A14684">
              <w:t xml:space="preserve"> before approving the issuance of </w:t>
            </w:r>
            <w:r w:rsidR="00D711E3">
              <w:t>the</w:t>
            </w:r>
            <w:r w:rsidR="00A14684" w:rsidRPr="00A14684">
              <w:t xml:space="preserve"> bonds</w:t>
            </w:r>
            <w:r w:rsidR="00103F6E">
              <w:t>, if applicable</w:t>
            </w:r>
            <w:r w:rsidR="00A14684">
              <w:t>.</w:t>
            </w:r>
            <w:r w:rsidR="00E86063">
              <w:t xml:space="preserve"> The bill authorizes </w:t>
            </w:r>
            <w:r w:rsidR="0045255B">
              <w:t>such</w:t>
            </w:r>
            <w:r w:rsidR="00E86063">
              <w:t xml:space="preserve"> certification to be </w:t>
            </w:r>
            <w:r w:rsidR="0045255B">
              <w:t>based</w:t>
            </w:r>
            <w:r w:rsidR="00E86063">
              <w:t xml:space="preserve"> </w:t>
            </w:r>
            <w:r w:rsidR="0045255B">
              <w:t>solely</w:t>
            </w:r>
            <w:r w:rsidR="00E86063">
              <w:t xml:space="preserve"> </w:t>
            </w:r>
            <w:r w:rsidR="0045255B" w:rsidRPr="0045255B">
              <w:t>on a written verification provided by the issuer on request of the attorney general.</w:t>
            </w:r>
          </w:p>
          <w:p w14:paraId="4A69219A" w14:textId="0A0E9192" w:rsidR="001F254A" w:rsidRDefault="00200324" w:rsidP="00D12291">
            <w:pPr>
              <w:pStyle w:val="Header"/>
              <w:jc w:val="both"/>
            </w:pPr>
            <w:r>
              <w:t xml:space="preserve">   </w:t>
            </w:r>
          </w:p>
          <w:p w14:paraId="73E9796B" w14:textId="6B9E49B9" w:rsidR="001F254A" w:rsidRPr="009C36CD" w:rsidRDefault="00200324" w:rsidP="00D12291">
            <w:pPr>
              <w:pStyle w:val="Header"/>
              <w:jc w:val="both"/>
            </w:pPr>
            <w:r>
              <w:t>C.S.</w:t>
            </w:r>
            <w:r w:rsidR="000A0BDD">
              <w:t xml:space="preserve">H.B. 1766 </w:t>
            </w:r>
            <w:r w:rsidR="00D12614" w:rsidRPr="00D12614">
              <w:t>appl</w:t>
            </w:r>
            <w:r w:rsidR="009C224C">
              <w:t>ies</w:t>
            </w:r>
            <w:r w:rsidR="00D12614">
              <w:t xml:space="preserve"> </w:t>
            </w:r>
            <w:r w:rsidR="00D12614" w:rsidRPr="00D12614">
              <w:t>to the allocation of the available state ceiling beginning with the 2024 program year.</w:t>
            </w:r>
          </w:p>
          <w:p w14:paraId="1EEDE51C" w14:textId="77777777" w:rsidR="008423E4" w:rsidRPr="00835628" w:rsidRDefault="008423E4" w:rsidP="00D12291">
            <w:pPr>
              <w:rPr>
                <w:b/>
              </w:rPr>
            </w:pPr>
          </w:p>
        </w:tc>
      </w:tr>
      <w:tr w:rsidR="007E5974" w14:paraId="088DC332" w14:textId="77777777" w:rsidTr="00345119">
        <w:tc>
          <w:tcPr>
            <w:tcW w:w="9576" w:type="dxa"/>
          </w:tcPr>
          <w:p w14:paraId="3A42EE69" w14:textId="77777777" w:rsidR="008423E4" w:rsidRPr="00A8133F" w:rsidRDefault="00200324" w:rsidP="00D1229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4C0F2BC" w14:textId="77777777" w:rsidR="008423E4" w:rsidRDefault="008423E4" w:rsidP="00D12291"/>
          <w:p w14:paraId="692CDFCD" w14:textId="3831AAFC" w:rsidR="008423E4" w:rsidRPr="003624F2" w:rsidRDefault="00200324" w:rsidP="00D1229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9929C94" w14:textId="77777777" w:rsidR="008423E4" w:rsidRPr="00233FDB" w:rsidRDefault="008423E4" w:rsidP="00D12291">
            <w:pPr>
              <w:rPr>
                <w:b/>
              </w:rPr>
            </w:pPr>
          </w:p>
        </w:tc>
      </w:tr>
      <w:tr w:rsidR="007E5974" w14:paraId="66BA6720" w14:textId="77777777" w:rsidTr="00345119">
        <w:tc>
          <w:tcPr>
            <w:tcW w:w="9576" w:type="dxa"/>
          </w:tcPr>
          <w:p w14:paraId="66C6F8C9" w14:textId="77777777" w:rsidR="00F830C8" w:rsidRDefault="00200324" w:rsidP="00D1229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37D3C4B" w14:textId="77777777" w:rsidR="00686B92" w:rsidRDefault="00686B92" w:rsidP="00D12291">
            <w:pPr>
              <w:jc w:val="both"/>
            </w:pPr>
          </w:p>
          <w:p w14:paraId="6263B4E8" w14:textId="282546A7" w:rsidR="00686B92" w:rsidRDefault="00200324" w:rsidP="00D12291">
            <w:pPr>
              <w:jc w:val="both"/>
            </w:pPr>
            <w:r>
              <w:t xml:space="preserve">While C.S.H.B. 1766 may differ from the introduced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6D2CA679" w14:textId="77777777" w:rsidR="008E00F1" w:rsidRDefault="008E00F1" w:rsidP="00D12291">
            <w:pPr>
              <w:pStyle w:val="Header"/>
              <w:jc w:val="both"/>
            </w:pPr>
          </w:p>
          <w:p w14:paraId="78A9C5DE" w14:textId="5AD188D5" w:rsidR="00DB56C9" w:rsidRDefault="00200324" w:rsidP="00D12291">
            <w:pPr>
              <w:pStyle w:val="Header"/>
              <w:jc w:val="both"/>
            </w:pPr>
            <w:r>
              <w:t xml:space="preserve">With respect to the new first priority for </w:t>
            </w:r>
            <w:r w:rsidRPr="00DB56C9">
              <w:t xml:space="preserve">granting reservations </w:t>
            </w:r>
            <w:r>
              <w:t xml:space="preserve">established by the bill, the substitute makes </w:t>
            </w:r>
            <w:r>
              <w:t xml:space="preserve">the following changes to the introduced: </w:t>
            </w:r>
          </w:p>
          <w:p w14:paraId="1A2110A4" w14:textId="17538D4D" w:rsidR="00F71473" w:rsidRDefault="00200324" w:rsidP="00D12291">
            <w:pPr>
              <w:pStyle w:val="Header"/>
              <w:numPr>
                <w:ilvl w:val="0"/>
                <w:numId w:val="3"/>
              </w:numPr>
              <w:jc w:val="both"/>
            </w:pPr>
            <w:r w:rsidRPr="009D2E62">
              <w:t xml:space="preserve">increases </w:t>
            </w:r>
            <w:r w:rsidR="00EB0B90">
              <w:t xml:space="preserve">from three years to four years </w:t>
            </w:r>
            <w:r w:rsidRPr="009D2E62">
              <w:t>the</w:t>
            </w:r>
            <w:r w:rsidR="00DB56C9" w:rsidRPr="009D2E62">
              <w:t xml:space="preserve"> period</w:t>
            </w:r>
            <w:r w:rsidR="00DB56C9">
              <w:t xml:space="preserve"> </w:t>
            </w:r>
            <w:r w:rsidR="00DB56C9" w:rsidRPr="00DB56C9">
              <w:t>preceding the date of the application</w:t>
            </w:r>
            <w:r>
              <w:t xml:space="preserve"> </w:t>
            </w:r>
            <w:r w:rsidR="00917614">
              <w:t xml:space="preserve">within which the project must have closed on a previous reservation of bonds and includes an additional requirement that, during </w:t>
            </w:r>
            <w:r w:rsidR="0018224F">
              <w:t>such</w:t>
            </w:r>
            <w:r w:rsidR="00917614">
              <w:t xml:space="preserve"> period, </w:t>
            </w:r>
            <w:r>
              <w:t xml:space="preserve">the project </w:t>
            </w:r>
            <w:r w:rsidR="0099529C">
              <w:t>has</w:t>
            </w:r>
            <w:r>
              <w:t xml:space="preserve"> </w:t>
            </w:r>
            <w:r w:rsidRPr="00F71473">
              <w:t xml:space="preserve">filed an application for a low-income housing tax credit with </w:t>
            </w:r>
            <w:r w:rsidR="00917614">
              <w:t>T</w:t>
            </w:r>
            <w:r w:rsidR="004629A1">
              <w:t>DH</w:t>
            </w:r>
            <w:r w:rsidR="00917614">
              <w:t>CA</w:t>
            </w:r>
            <w:r>
              <w:t>;</w:t>
            </w:r>
            <w:r w:rsidR="00917614">
              <w:t xml:space="preserve"> and</w:t>
            </w:r>
          </w:p>
          <w:p w14:paraId="5D19F51C" w14:textId="6AB7BE9F" w:rsidR="00F71473" w:rsidRDefault="00200324" w:rsidP="00D12291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includes as an additional condition that must be </w:t>
            </w:r>
            <w:r w:rsidRPr="00321D05">
              <w:t xml:space="preserve">satisfied </w:t>
            </w:r>
            <w:r w:rsidR="001C60F4">
              <w:t xml:space="preserve">for a project </w:t>
            </w:r>
            <w:r w:rsidRPr="00321D05">
              <w:t>to receive</w:t>
            </w:r>
            <w:r>
              <w:t xml:space="preserve"> this first priority </w:t>
            </w:r>
            <w:r w:rsidR="001C60F4">
              <w:t>that the project has</w:t>
            </w:r>
            <w:r w:rsidRPr="00F71473">
              <w:t xml:space="preserve"> not previously applied f</w:t>
            </w:r>
            <w:r w:rsidRPr="00F71473">
              <w:t xml:space="preserve">or a subsequent issuance of </w:t>
            </w:r>
            <w:r w:rsidRPr="00EB0B90">
              <w:t>bonds</w:t>
            </w:r>
            <w:r>
              <w:t>.</w:t>
            </w:r>
          </w:p>
          <w:p w14:paraId="59EB23AA" w14:textId="2CC41A42" w:rsidR="00F71473" w:rsidRDefault="00F71473" w:rsidP="00D12291">
            <w:pPr>
              <w:pStyle w:val="Header"/>
              <w:jc w:val="both"/>
            </w:pPr>
          </w:p>
          <w:p w14:paraId="68A4CB7D" w14:textId="22B9670B" w:rsidR="00DF1A78" w:rsidRDefault="00200324" w:rsidP="00D12291">
            <w:pPr>
              <w:jc w:val="both"/>
            </w:pPr>
            <w:r>
              <w:t>T</w:t>
            </w:r>
            <w:r w:rsidR="00F71473">
              <w:t>he introduced</w:t>
            </w:r>
            <w:r>
              <w:t xml:space="preserve"> included a provision that</w:t>
            </w:r>
            <w:r w:rsidRPr="00DF1A78">
              <w:t xml:space="preserve">, with respect to a project </w:t>
            </w:r>
            <w:r w:rsidRPr="00317D45">
              <w:t>financed by an issuer of</w:t>
            </w:r>
            <w:r w:rsidRPr="00DF1A78">
              <w:t xml:space="preserve"> qualified residential rental project bonds that is granted a reservation of a portion of the available state ceiling for a program year in which the total amount of </w:t>
            </w:r>
            <w:r w:rsidRPr="00317D45">
              <w:t>such bonds</w:t>
            </w:r>
            <w:r w:rsidRPr="00DF1A78">
              <w:t xml:space="preserve"> for which reservations are sought exceeds, as of October 31, 55.75 percent of t</w:t>
            </w:r>
            <w:r w:rsidRPr="00DF1A78">
              <w:t xml:space="preserve">he portion of </w:t>
            </w:r>
            <w:r w:rsidR="004629A1">
              <w:t xml:space="preserve">the </w:t>
            </w:r>
            <w:r w:rsidRPr="00DF1A78">
              <w:t xml:space="preserve">state ceiling available for that year exclusively for reservations by issuers of </w:t>
            </w:r>
            <w:r w:rsidRPr="00317D45">
              <w:t>these bonds</w:t>
            </w:r>
            <w:r w:rsidRPr="00DF1A78">
              <w:t>, cap</w:t>
            </w:r>
            <w:r>
              <w:t>ped</w:t>
            </w:r>
            <w:r w:rsidRPr="00DF1A78">
              <w:t xml:space="preserve"> the amount of bonds that may be used to finance each such project and requested in an application for a reservation at 55 percent of the </w:t>
            </w:r>
            <w:r w:rsidRPr="00DF1A78">
              <w:t>reasonably expected aggregate basis of the project and the land on which the project is or will be located.</w:t>
            </w:r>
            <w:r>
              <w:t xml:space="preserve"> T</w:t>
            </w:r>
            <w:r w:rsidR="00F71473">
              <w:t xml:space="preserve">he substitute </w:t>
            </w:r>
            <w:r>
              <w:t>revises this provision as follows:</w:t>
            </w:r>
          </w:p>
          <w:p w14:paraId="606AE7A3" w14:textId="3B6F7E67" w:rsidR="00DF1A78" w:rsidRDefault="00200324" w:rsidP="00D12291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 xml:space="preserve">changes the date </w:t>
            </w:r>
            <w:r w:rsidR="000676DD">
              <w:t>on</w:t>
            </w:r>
            <w:r>
              <w:t xml:space="preserve"> which the 55.75 </w:t>
            </w:r>
            <w:r w:rsidR="009D39FC">
              <w:t xml:space="preserve">percent </w:t>
            </w:r>
            <w:r>
              <w:t xml:space="preserve">threshold </w:t>
            </w:r>
            <w:r w:rsidR="008A31F4">
              <w:t>is measured</w:t>
            </w:r>
            <w:r w:rsidR="000676DD">
              <w:t xml:space="preserve"> </w:t>
            </w:r>
            <w:r w:rsidR="000676DD" w:rsidRPr="00317D45">
              <w:t xml:space="preserve">to </w:t>
            </w:r>
            <w:r w:rsidRPr="00317D45">
              <w:t>determin</w:t>
            </w:r>
            <w:r w:rsidR="000676DD" w:rsidRPr="00317D45">
              <w:t>e the applicability of the 55 percent cap</w:t>
            </w:r>
            <w:r>
              <w:t xml:space="preserve"> </w:t>
            </w:r>
            <w:r w:rsidR="008A31F4">
              <w:t xml:space="preserve">from October 31 </w:t>
            </w:r>
            <w:r>
              <w:t xml:space="preserve">to October 20 </w:t>
            </w:r>
            <w:r w:rsidRPr="00317D45">
              <w:t>of the preceding year</w:t>
            </w:r>
            <w:r>
              <w:t>;</w:t>
            </w:r>
          </w:p>
          <w:p w14:paraId="3A491744" w14:textId="6222DC9E" w:rsidR="00DF1A78" w:rsidRDefault="00200324" w:rsidP="00D12291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makes the 55.75 percent</w:t>
            </w:r>
            <w:r w:rsidR="008A31F4">
              <w:t xml:space="preserve"> threshold</w:t>
            </w:r>
            <w:r>
              <w:t xml:space="preserve"> applicable with respect to the entire state ceiling </w:t>
            </w:r>
            <w:r w:rsidRPr="001C60F4">
              <w:t>by omitting the language</w:t>
            </w:r>
            <w:r w:rsidR="008A31F4" w:rsidRPr="001C60F4">
              <w:t xml:space="preserve"> </w:t>
            </w:r>
            <w:r w:rsidRPr="001C60F4">
              <w:t>making that threshold calculable against</w:t>
            </w:r>
            <w:r>
              <w:t xml:space="preserve"> only the portio</w:t>
            </w:r>
            <w:r>
              <w:t>n of the ceiling available for that year exclusively for reservations by issuers of qualified residential rental project bonds; and</w:t>
            </w:r>
          </w:p>
          <w:p w14:paraId="704F519C" w14:textId="7385B8C4" w:rsidR="009D39FC" w:rsidRDefault="00200324" w:rsidP="00D12291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>
              <w:t>makes the 55 percent cap applicable to the amount of bonds issued to each project, rather than the amount of bonds used to f</w:t>
            </w:r>
            <w:r>
              <w:t>inance each project and requested in an application.</w:t>
            </w:r>
          </w:p>
          <w:p w14:paraId="7A302639" w14:textId="7A509520" w:rsidR="00F71473" w:rsidRDefault="00F71473" w:rsidP="00D12291"/>
          <w:p w14:paraId="510C48A0" w14:textId="7E21E3DD" w:rsidR="008A31F4" w:rsidRDefault="00200324" w:rsidP="00D12291">
            <w:pPr>
              <w:jc w:val="both"/>
            </w:pPr>
            <w:r w:rsidRPr="00DB56C9">
              <w:t xml:space="preserve">The substitute includes </w:t>
            </w:r>
            <w:r>
              <w:t xml:space="preserve">a </w:t>
            </w:r>
            <w:r w:rsidRPr="00DB56C9">
              <w:t xml:space="preserve">provision not in the introduced </w:t>
            </w:r>
            <w:r>
              <w:t xml:space="preserve">authorizing the certification by </w:t>
            </w:r>
            <w:r w:rsidRPr="00A14684">
              <w:t>the attorney general</w:t>
            </w:r>
            <w:r>
              <w:t xml:space="preserve"> </w:t>
            </w:r>
            <w:r w:rsidR="00366C7B">
              <w:t xml:space="preserve">of </w:t>
            </w:r>
            <w:r w:rsidR="00366C7B" w:rsidRPr="00317D45">
              <w:t>issuer compliance</w:t>
            </w:r>
            <w:r w:rsidR="00366C7B" w:rsidRPr="00A14684">
              <w:t xml:space="preserve"> </w:t>
            </w:r>
            <w:r w:rsidR="00317D45">
              <w:t xml:space="preserve">with the cap set by the bill </w:t>
            </w:r>
            <w:r>
              <w:t xml:space="preserve">to be based solely </w:t>
            </w:r>
            <w:r w:rsidRPr="0045255B">
              <w:t>on a written verifica</w:t>
            </w:r>
            <w:r w:rsidRPr="0045255B">
              <w:t>tion provided by the issuer on request of the attorney general.</w:t>
            </w:r>
          </w:p>
          <w:p w14:paraId="57BDFD9C" w14:textId="77777777" w:rsidR="00686B92" w:rsidRDefault="00686B92" w:rsidP="00D12291"/>
          <w:p w14:paraId="792049C1" w14:textId="2620033F" w:rsidR="00686B92" w:rsidRPr="00686B92" w:rsidRDefault="00686B92" w:rsidP="00D12291">
            <w:pPr>
              <w:jc w:val="both"/>
            </w:pPr>
          </w:p>
        </w:tc>
      </w:tr>
      <w:tr w:rsidR="007E5974" w14:paraId="5FD7887F" w14:textId="77777777" w:rsidTr="00345119">
        <w:tc>
          <w:tcPr>
            <w:tcW w:w="9576" w:type="dxa"/>
          </w:tcPr>
          <w:p w14:paraId="2EE9F137" w14:textId="77777777" w:rsidR="00F830C8" w:rsidRPr="009C1E9A" w:rsidRDefault="00F830C8" w:rsidP="00D12291">
            <w:pPr>
              <w:rPr>
                <w:b/>
                <w:u w:val="single"/>
              </w:rPr>
            </w:pPr>
          </w:p>
        </w:tc>
      </w:tr>
      <w:tr w:rsidR="007E5974" w14:paraId="008F170F" w14:textId="77777777" w:rsidTr="00345119">
        <w:tc>
          <w:tcPr>
            <w:tcW w:w="9576" w:type="dxa"/>
          </w:tcPr>
          <w:p w14:paraId="0989A517" w14:textId="77777777" w:rsidR="00F830C8" w:rsidRPr="00F830C8" w:rsidRDefault="00F830C8" w:rsidP="00D12291">
            <w:pPr>
              <w:jc w:val="both"/>
            </w:pPr>
          </w:p>
        </w:tc>
      </w:tr>
    </w:tbl>
    <w:p w14:paraId="4185F828" w14:textId="77777777" w:rsidR="008423E4" w:rsidRPr="00BE0E75" w:rsidRDefault="008423E4" w:rsidP="00D12291">
      <w:pPr>
        <w:jc w:val="both"/>
        <w:rPr>
          <w:rFonts w:ascii="Arial" w:hAnsi="Arial"/>
          <w:sz w:val="16"/>
          <w:szCs w:val="16"/>
        </w:rPr>
      </w:pPr>
    </w:p>
    <w:p w14:paraId="4B8DE9B4" w14:textId="77777777" w:rsidR="004108C3" w:rsidRPr="008423E4" w:rsidRDefault="004108C3" w:rsidP="00D1229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1EA9" w14:textId="77777777" w:rsidR="00000000" w:rsidRDefault="00200324">
      <w:r>
        <w:separator/>
      </w:r>
    </w:p>
  </w:endnote>
  <w:endnote w:type="continuationSeparator" w:id="0">
    <w:p w14:paraId="64849193" w14:textId="77777777" w:rsidR="00000000" w:rsidRDefault="0020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94A7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E5974" w14:paraId="3D4F0B57" w14:textId="77777777" w:rsidTr="009C1E9A">
      <w:trPr>
        <w:cantSplit/>
      </w:trPr>
      <w:tc>
        <w:tcPr>
          <w:tcW w:w="0" w:type="pct"/>
        </w:tcPr>
        <w:p w14:paraId="3C48DF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BED52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04018C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ABC43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37792F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5974" w14:paraId="42E611EA" w14:textId="77777777" w:rsidTr="009C1E9A">
      <w:trPr>
        <w:cantSplit/>
      </w:trPr>
      <w:tc>
        <w:tcPr>
          <w:tcW w:w="0" w:type="pct"/>
        </w:tcPr>
        <w:p w14:paraId="1C72E6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EF2DABF" w14:textId="7379738E" w:rsidR="00EC379B" w:rsidRPr="009C1E9A" w:rsidRDefault="0020032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23760-D</w:t>
          </w:r>
        </w:p>
      </w:tc>
      <w:tc>
        <w:tcPr>
          <w:tcW w:w="2453" w:type="pct"/>
        </w:tcPr>
        <w:p w14:paraId="45BEC706" w14:textId="5F8B76CA" w:rsidR="00EC379B" w:rsidRDefault="0020032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81CE2">
            <w:t>23.105.273</w:t>
          </w:r>
          <w:r>
            <w:fldChar w:fldCharType="end"/>
          </w:r>
        </w:p>
      </w:tc>
    </w:tr>
    <w:tr w:rsidR="007E5974" w14:paraId="0391E008" w14:textId="77777777" w:rsidTr="009C1E9A">
      <w:trPr>
        <w:cantSplit/>
      </w:trPr>
      <w:tc>
        <w:tcPr>
          <w:tcW w:w="0" w:type="pct"/>
        </w:tcPr>
        <w:p w14:paraId="0F4A049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59EF2BE" w14:textId="214ACFEC" w:rsidR="00EC379B" w:rsidRPr="009C1E9A" w:rsidRDefault="0020032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22757</w:t>
          </w:r>
        </w:p>
      </w:tc>
      <w:tc>
        <w:tcPr>
          <w:tcW w:w="2453" w:type="pct"/>
        </w:tcPr>
        <w:p w14:paraId="5DD32D5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7FB6B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E5974" w14:paraId="4B237FF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E4C39F2" w14:textId="77777777" w:rsidR="00EC379B" w:rsidRDefault="0020032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D57C4B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BF129D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103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B377" w14:textId="77777777" w:rsidR="00000000" w:rsidRDefault="00200324">
      <w:r>
        <w:separator/>
      </w:r>
    </w:p>
  </w:footnote>
  <w:footnote w:type="continuationSeparator" w:id="0">
    <w:p w14:paraId="6800DA06" w14:textId="77777777" w:rsidR="00000000" w:rsidRDefault="0020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1D42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55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B343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7E48"/>
    <w:multiLevelType w:val="hybridMultilevel"/>
    <w:tmpl w:val="A900D356"/>
    <w:lvl w:ilvl="0" w:tplc="46348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0A6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E42C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C2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EA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ED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E3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EA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40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50C58"/>
    <w:multiLevelType w:val="hybridMultilevel"/>
    <w:tmpl w:val="5D5E4768"/>
    <w:lvl w:ilvl="0" w:tplc="6B4CB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A6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4C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80C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47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B88A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C5D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4CD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C5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12CD0"/>
    <w:multiLevelType w:val="hybridMultilevel"/>
    <w:tmpl w:val="D3AC0428"/>
    <w:lvl w:ilvl="0" w:tplc="29E24C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0A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C0C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48E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3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A24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28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1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43A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01D8E"/>
    <w:multiLevelType w:val="hybridMultilevel"/>
    <w:tmpl w:val="0374EA6C"/>
    <w:lvl w:ilvl="0" w:tplc="84E48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A865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0C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6C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2A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46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AD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CA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FA0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D76A7"/>
    <w:multiLevelType w:val="hybridMultilevel"/>
    <w:tmpl w:val="488465DA"/>
    <w:lvl w:ilvl="0" w:tplc="5B1EE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70A7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C8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A6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CAA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48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EC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21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F6D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80541">
    <w:abstractNumId w:val="3"/>
  </w:num>
  <w:num w:numId="2" w16cid:durableId="648290900">
    <w:abstractNumId w:val="0"/>
  </w:num>
  <w:num w:numId="3" w16cid:durableId="2069186025">
    <w:abstractNumId w:val="4"/>
  </w:num>
  <w:num w:numId="4" w16cid:durableId="1241476906">
    <w:abstractNumId w:val="1"/>
  </w:num>
  <w:num w:numId="5" w16cid:durableId="135453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E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4FB0"/>
    <w:rsid w:val="000667BA"/>
    <w:rsid w:val="000676A7"/>
    <w:rsid w:val="000676DD"/>
    <w:rsid w:val="00073914"/>
    <w:rsid w:val="00074236"/>
    <w:rsid w:val="000746BD"/>
    <w:rsid w:val="00076D7D"/>
    <w:rsid w:val="00080D95"/>
    <w:rsid w:val="00085952"/>
    <w:rsid w:val="00090E6B"/>
    <w:rsid w:val="00091B2C"/>
    <w:rsid w:val="00092ABC"/>
    <w:rsid w:val="00097AAF"/>
    <w:rsid w:val="00097D13"/>
    <w:rsid w:val="000A0BDD"/>
    <w:rsid w:val="000A4893"/>
    <w:rsid w:val="000A54E0"/>
    <w:rsid w:val="000A72C4"/>
    <w:rsid w:val="000B0F30"/>
    <w:rsid w:val="000B1486"/>
    <w:rsid w:val="000B3E61"/>
    <w:rsid w:val="000B54AF"/>
    <w:rsid w:val="000B6090"/>
    <w:rsid w:val="000B6ED0"/>
    <w:rsid w:val="000B6FEE"/>
    <w:rsid w:val="000C12C4"/>
    <w:rsid w:val="000C49DA"/>
    <w:rsid w:val="000C4B3D"/>
    <w:rsid w:val="000C6DC1"/>
    <w:rsid w:val="000C6E20"/>
    <w:rsid w:val="000C76D7"/>
    <w:rsid w:val="000C7C89"/>
    <w:rsid w:val="000C7F1D"/>
    <w:rsid w:val="000D2EBA"/>
    <w:rsid w:val="000D32A1"/>
    <w:rsid w:val="000D3725"/>
    <w:rsid w:val="000D46E5"/>
    <w:rsid w:val="000D769C"/>
    <w:rsid w:val="000E1976"/>
    <w:rsid w:val="000E20F1"/>
    <w:rsid w:val="000E30B6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3F6E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12F8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272"/>
    <w:rsid w:val="0018050C"/>
    <w:rsid w:val="0018117F"/>
    <w:rsid w:val="0018224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0F4"/>
    <w:rsid w:val="001C61B0"/>
    <w:rsid w:val="001C7957"/>
    <w:rsid w:val="001C7DB8"/>
    <w:rsid w:val="001C7EA8"/>
    <w:rsid w:val="001D1711"/>
    <w:rsid w:val="001D20AF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254A"/>
    <w:rsid w:val="001F3CB8"/>
    <w:rsid w:val="001F6B91"/>
    <w:rsid w:val="001F703C"/>
    <w:rsid w:val="00200324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D45"/>
    <w:rsid w:val="00321337"/>
    <w:rsid w:val="00321D05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663A"/>
    <w:rsid w:val="00366C7B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6199"/>
    <w:rsid w:val="003A0296"/>
    <w:rsid w:val="003A0869"/>
    <w:rsid w:val="003A10BC"/>
    <w:rsid w:val="003A27C5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C6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55B"/>
    <w:rsid w:val="00452FC3"/>
    <w:rsid w:val="00454715"/>
    <w:rsid w:val="00455936"/>
    <w:rsid w:val="00455ACE"/>
    <w:rsid w:val="00461B69"/>
    <w:rsid w:val="004629A1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EA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F03"/>
    <w:rsid w:val="005073E8"/>
    <w:rsid w:val="00510503"/>
    <w:rsid w:val="0051324D"/>
    <w:rsid w:val="00515466"/>
    <w:rsid w:val="005154F7"/>
    <w:rsid w:val="005159DE"/>
    <w:rsid w:val="00522EDF"/>
    <w:rsid w:val="005269CE"/>
    <w:rsid w:val="005304B2"/>
    <w:rsid w:val="005336BD"/>
    <w:rsid w:val="00534A49"/>
    <w:rsid w:val="005363BB"/>
    <w:rsid w:val="00537C0B"/>
    <w:rsid w:val="00541B98"/>
    <w:rsid w:val="00543374"/>
    <w:rsid w:val="00545548"/>
    <w:rsid w:val="00546923"/>
    <w:rsid w:val="00551CA6"/>
    <w:rsid w:val="00555034"/>
    <w:rsid w:val="005551D2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2EA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7F5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89E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B92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D32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978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74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BB1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1CE2"/>
    <w:rsid w:val="008826F2"/>
    <w:rsid w:val="008845BA"/>
    <w:rsid w:val="00884AE3"/>
    <w:rsid w:val="00885203"/>
    <w:rsid w:val="008859CA"/>
    <w:rsid w:val="008861EE"/>
    <w:rsid w:val="00890B59"/>
    <w:rsid w:val="00891B28"/>
    <w:rsid w:val="008930D7"/>
    <w:rsid w:val="008947A7"/>
    <w:rsid w:val="00897E80"/>
    <w:rsid w:val="008A04FA"/>
    <w:rsid w:val="008A3188"/>
    <w:rsid w:val="008A31F4"/>
    <w:rsid w:val="008A3FDF"/>
    <w:rsid w:val="008A6418"/>
    <w:rsid w:val="008B05D8"/>
    <w:rsid w:val="008B0B3D"/>
    <w:rsid w:val="008B1914"/>
    <w:rsid w:val="008B2B1A"/>
    <w:rsid w:val="008B3428"/>
    <w:rsid w:val="008B4A91"/>
    <w:rsid w:val="008B7785"/>
    <w:rsid w:val="008B79F2"/>
    <w:rsid w:val="008C02ED"/>
    <w:rsid w:val="008C0809"/>
    <w:rsid w:val="008C132C"/>
    <w:rsid w:val="008C3FD0"/>
    <w:rsid w:val="008D27A5"/>
    <w:rsid w:val="008D2AAB"/>
    <w:rsid w:val="008D309C"/>
    <w:rsid w:val="008D58F9"/>
    <w:rsid w:val="008D7427"/>
    <w:rsid w:val="008E00F1"/>
    <w:rsid w:val="008E3338"/>
    <w:rsid w:val="008E3B60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614"/>
    <w:rsid w:val="00917E0C"/>
    <w:rsid w:val="00920711"/>
    <w:rsid w:val="00921A1E"/>
    <w:rsid w:val="00924EA9"/>
    <w:rsid w:val="00925CE1"/>
    <w:rsid w:val="00925F5C"/>
    <w:rsid w:val="009276F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29C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24C"/>
    <w:rsid w:val="009C2A33"/>
    <w:rsid w:val="009C2E49"/>
    <w:rsid w:val="009C36CD"/>
    <w:rsid w:val="009C43A5"/>
    <w:rsid w:val="009C5A1D"/>
    <w:rsid w:val="009C6B08"/>
    <w:rsid w:val="009C70FC"/>
    <w:rsid w:val="009D002B"/>
    <w:rsid w:val="009D2E62"/>
    <w:rsid w:val="009D37C7"/>
    <w:rsid w:val="009D39FC"/>
    <w:rsid w:val="009D4BBD"/>
    <w:rsid w:val="009D5A41"/>
    <w:rsid w:val="009D79BD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4684"/>
    <w:rsid w:val="00A151B5"/>
    <w:rsid w:val="00A220FF"/>
    <w:rsid w:val="00A227E0"/>
    <w:rsid w:val="00A232E4"/>
    <w:rsid w:val="00A241BA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4714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025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6469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7ED"/>
    <w:rsid w:val="00CF71E0"/>
    <w:rsid w:val="00D001B1"/>
    <w:rsid w:val="00D03176"/>
    <w:rsid w:val="00D060A8"/>
    <w:rsid w:val="00D06605"/>
    <w:rsid w:val="00D0720F"/>
    <w:rsid w:val="00D074E2"/>
    <w:rsid w:val="00D11B0B"/>
    <w:rsid w:val="00D12291"/>
    <w:rsid w:val="00D12614"/>
    <w:rsid w:val="00D12A3E"/>
    <w:rsid w:val="00D22160"/>
    <w:rsid w:val="00D22172"/>
    <w:rsid w:val="00D2301B"/>
    <w:rsid w:val="00D239EE"/>
    <w:rsid w:val="00D30534"/>
    <w:rsid w:val="00D32E16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11E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6C9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34CE"/>
    <w:rsid w:val="00DE49DE"/>
    <w:rsid w:val="00DE618B"/>
    <w:rsid w:val="00DE6A2A"/>
    <w:rsid w:val="00DE6EC2"/>
    <w:rsid w:val="00DF0834"/>
    <w:rsid w:val="00DF0873"/>
    <w:rsid w:val="00DF1A78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3A0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B6A"/>
    <w:rsid w:val="00E85DBD"/>
    <w:rsid w:val="00E86063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0B90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3ACD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C96"/>
    <w:rsid w:val="00F11E04"/>
    <w:rsid w:val="00F11FA5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DC7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2CB7"/>
    <w:rsid w:val="00F5605D"/>
    <w:rsid w:val="00F64449"/>
    <w:rsid w:val="00F6514B"/>
    <w:rsid w:val="00F6533E"/>
    <w:rsid w:val="00F6587F"/>
    <w:rsid w:val="00F67981"/>
    <w:rsid w:val="00F706CA"/>
    <w:rsid w:val="00F707AB"/>
    <w:rsid w:val="00F70F8D"/>
    <w:rsid w:val="00F71473"/>
    <w:rsid w:val="00F71C5A"/>
    <w:rsid w:val="00F733A4"/>
    <w:rsid w:val="00F7758F"/>
    <w:rsid w:val="00F80860"/>
    <w:rsid w:val="00F82811"/>
    <w:rsid w:val="00F830C8"/>
    <w:rsid w:val="00F84153"/>
    <w:rsid w:val="00F85661"/>
    <w:rsid w:val="00F96602"/>
    <w:rsid w:val="00F9735A"/>
    <w:rsid w:val="00FA32FC"/>
    <w:rsid w:val="00FA59FD"/>
    <w:rsid w:val="00FA5D8C"/>
    <w:rsid w:val="00FA6403"/>
    <w:rsid w:val="00FB165C"/>
    <w:rsid w:val="00FB16CD"/>
    <w:rsid w:val="00FB315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DFC3A6-A462-40CB-BCDE-DAB4E5ED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06F0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6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6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6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6F03"/>
    <w:rPr>
      <w:b/>
      <w:bCs/>
    </w:rPr>
  </w:style>
  <w:style w:type="paragraph" w:styleId="Revision">
    <w:name w:val="Revision"/>
    <w:hidden/>
    <w:uiPriority w:val="99"/>
    <w:semiHidden/>
    <w:rsid w:val="003961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1A78"/>
    <w:pPr>
      <w:ind w:left="720"/>
      <w:contextualSpacing/>
    </w:pPr>
  </w:style>
  <w:style w:type="character" w:styleId="Hyperlink">
    <w:name w:val="Hyperlink"/>
    <w:basedOn w:val="DefaultParagraphFont"/>
    <w:unhideWhenUsed/>
    <w:rsid w:val="00F707A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0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5747</Characters>
  <Application>Microsoft Office Word</Application>
  <DocSecurity>4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HB01766 (Committee Report (Substituted))</vt:lpstr>
    </vt:vector>
  </TitlesOfParts>
  <Company>State of Texas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23760</dc:subject>
  <dc:creator>State of Texas</dc:creator>
  <dc:description>HB 1766 by Darby-(H)Pensions, Investments &amp; Financial Services (Substitute Document Number: 88R 22757)</dc:description>
  <cp:lastModifiedBy>Stacey Nicchio</cp:lastModifiedBy>
  <cp:revision>2</cp:revision>
  <cp:lastPrinted>2003-11-26T17:21:00Z</cp:lastPrinted>
  <dcterms:created xsi:type="dcterms:W3CDTF">2023-04-21T18:59:00Z</dcterms:created>
  <dcterms:modified xsi:type="dcterms:W3CDTF">2023-04-21T18:59:00Z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23.105.273</vt:lpwstr>
  </property>
</Properties>
</file>