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7089E" w14:paraId="65CE5F54" w14:textId="77777777" w:rsidTr="00345119">
        <w:tc>
          <w:tcPr>
            <w:tcW w:w="9576" w:type="dxa"/>
            <w:noWrap/>
          </w:tcPr>
          <w:p w14:paraId="31535AC7" w14:textId="77777777" w:rsidR="008423E4" w:rsidRPr="0022177D" w:rsidRDefault="005E3560" w:rsidP="0064285A">
            <w:pPr>
              <w:pStyle w:val="Heading1"/>
            </w:pPr>
            <w:r w:rsidRPr="00631897">
              <w:t>BILL ANALYSIS</w:t>
            </w:r>
          </w:p>
        </w:tc>
      </w:tr>
    </w:tbl>
    <w:p w14:paraId="392C0DF4" w14:textId="77777777" w:rsidR="008423E4" w:rsidRPr="0022177D" w:rsidRDefault="008423E4" w:rsidP="0064285A">
      <w:pPr>
        <w:jc w:val="center"/>
      </w:pPr>
    </w:p>
    <w:p w14:paraId="6A202DD1" w14:textId="77777777" w:rsidR="008423E4" w:rsidRPr="00B31F0E" w:rsidRDefault="008423E4" w:rsidP="0064285A"/>
    <w:p w14:paraId="6F8AA582" w14:textId="77777777" w:rsidR="008423E4" w:rsidRPr="00742794" w:rsidRDefault="008423E4" w:rsidP="0064285A">
      <w:pPr>
        <w:tabs>
          <w:tab w:val="right" w:pos="9360"/>
        </w:tabs>
      </w:pPr>
    </w:p>
    <w:tbl>
      <w:tblPr>
        <w:tblW w:w="0" w:type="auto"/>
        <w:tblLayout w:type="fixed"/>
        <w:tblLook w:val="01E0" w:firstRow="1" w:lastRow="1" w:firstColumn="1" w:lastColumn="1" w:noHBand="0" w:noVBand="0"/>
      </w:tblPr>
      <w:tblGrid>
        <w:gridCol w:w="9576"/>
      </w:tblGrid>
      <w:tr w:rsidR="00A7089E" w14:paraId="4E0A410F" w14:textId="77777777" w:rsidTr="00345119">
        <w:tc>
          <w:tcPr>
            <w:tcW w:w="9576" w:type="dxa"/>
          </w:tcPr>
          <w:p w14:paraId="34FC4C5C" w14:textId="3C07ADD5" w:rsidR="008423E4" w:rsidRPr="00861995" w:rsidRDefault="005E3560" w:rsidP="0064285A">
            <w:pPr>
              <w:jc w:val="right"/>
            </w:pPr>
            <w:r>
              <w:t>C.S.H.B. 1788</w:t>
            </w:r>
          </w:p>
        </w:tc>
      </w:tr>
      <w:tr w:rsidR="00A7089E" w14:paraId="052B9CDC" w14:textId="77777777" w:rsidTr="00345119">
        <w:tc>
          <w:tcPr>
            <w:tcW w:w="9576" w:type="dxa"/>
          </w:tcPr>
          <w:p w14:paraId="7A6EBBE8" w14:textId="7D2EE497" w:rsidR="008423E4" w:rsidRPr="00861995" w:rsidRDefault="005E3560" w:rsidP="0064285A">
            <w:pPr>
              <w:jc w:val="right"/>
            </w:pPr>
            <w:r>
              <w:t xml:space="preserve">By: </w:t>
            </w:r>
            <w:r w:rsidR="00912ADB">
              <w:t>Buckley</w:t>
            </w:r>
          </w:p>
        </w:tc>
      </w:tr>
      <w:tr w:rsidR="00A7089E" w14:paraId="671CFA1F" w14:textId="77777777" w:rsidTr="00345119">
        <w:tc>
          <w:tcPr>
            <w:tcW w:w="9576" w:type="dxa"/>
          </w:tcPr>
          <w:p w14:paraId="752D54D9" w14:textId="4734857D" w:rsidR="008423E4" w:rsidRPr="00861995" w:rsidRDefault="005E3560" w:rsidP="0064285A">
            <w:pPr>
              <w:jc w:val="right"/>
            </w:pPr>
            <w:r>
              <w:t>Public Health</w:t>
            </w:r>
          </w:p>
        </w:tc>
      </w:tr>
      <w:tr w:rsidR="00A7089E" w14:paraId="6D46F9B2" w14:textId="77777777" w:rsidTr="00345119">
        <w:tc>
          <w:tcPr>
            <w:tcW w:w="9576" w:type="dxa"/>
          </w:tcPr>
          <w:p w14:paraId="5DB469AD" w14:textId="7B5DEA5A" w:rsidR="008423E4" w:rsidRDefault="005E3560" w:rsidP="0064285A">
            <w:pPr>
              <w:jc w:val="right"/>
            </w:pPr>
            <w:r>
              <w:t>Committee Report (Substituted)</w:t>
            </w:r>
          </w:p>
        </w:tc>
      </w:tr>
    </w:tbl>
    <w:p w14:paraId="56E6186D" w14:textId="77777777" w:rsidR="008423E4" w:rsidRDefault="008423E4" w:rsidP="0064285A">
      <w:pPr>
        <w:tabs>
          <w:tab w:val="right" w:pos="9360"/>
        </w:tabs>
      </w:pPr>
    </w:p>
    <w:p w14:paraId="5443E3B0" w14:textId="77777777" w:rsidR="008423E4" w:rsidRDefault="008423E4" w:rsidP="0064285A"/>
    <w:p w14:paraId="4B82CBD3" w14:textId="77777777" w:rsidR="008423E4" w:rsidRDefault="008423E4" w:rsidP="0064285A"/>
    <w:tbl>
      <w:tblPr>
        <w:tblW w:w="0" w:type="auto"/>
        <w:tblCellMar>
          <w:left w:w="115" w:type="dxa"/>
          <w:right w:w="115" w:type="dxa"/>
        </w:tblCellMar>
        <w:tblLook w:val="01E0" w:firstRow="1" w:lastRow="1" w:firstColumn="1" w:lastColumn="1" w:noHBand="0" w:noVBand="0"/>
      </w:tblPr>
      <w:tblGrid>
        <w:gridCol w:w="9360"/>
      </w:tblGrid>
      <w:tr w:rsidR="00A7089E" w14:paraId="622EEE3D" w14:textId="77777777" w:rsidTr="00345119">
        <w:tc>
          <w:tcPr>
            <w:tcW w:w="9576" w:type="dxa"/>
          </w:tcPr>
          <w:p w14:paraId="73D24546" w14:textId="77777777" w:rsidR="008423E4" w:rsidRPr="00A8133F" w:rsidRDefault="005E3560" w:rsidP="0064285A">
            <w:pPr>
              <w:rPr>
                <w:b/>
              </w:rPr>
            </w:pPr>
            <w:r w:rsidRPr="009C1E9A">
              <w:rPr>
                <w:b/>
                <w:u w:val="single"/>
              </w:rPr>
              <w:t>BACKGROUND AND PURPOSE</w:t>
            </w:r>
            <w:r>
              <w:rPr>
                <w:b/>
              </w:rPr>
              <w:t xml:space="preserve"> </w:t>
            </w:r>
          </w:p>
          <w:p w14:paraId="64B896A6" w14:textId="77777777" w:rsidR="008423E4" w:rsidRDefault="008423E4" w:rsidP="0064285A"/>
          <w:p w14:paraId="483CEB8E" w14:textId="77777777" w:rsidR="008423E4" w:rsidRDefault="005E3560" w:rsidP="0064285A">
            <w:pPr>
              <w:jc w:val="both"/>
              <w:rPr>
                <w:rFonts w:eastAsia="Calibri"/>
              </w:rPr>
            </w:pPr>
            <w:r>
              <w:rPr>
                <w:rFonts w:eastAsia="Calibri"/>
              </w:rPr>
              <w:t>Producers of t</w:t>
            </w:r>
            <w:r w:rsidRPr="00533CDE">
              <w:rPr>
                <w:rFonts w:eastAsia="Calibri"/>
              </w:rPr>
              <w:t xml:space="preserve">raditional protein sources such as beef and chicken </w:t>
            </w:r>
            <w:r>
              <w:rPr>
                <w:rFonts w:eastAsia="Calibri"/>
              </w:rPr>
              <w:t>must</w:t>
            </w:r>
            <w:r w:rsidRPr="00533CDE">
              <w:rPr>
                <w:rFonts w:eastAsia="Calibri"/>
              </w:rPr>
              <w:t xml:space="preserve"> comply with rigorous regulations and have heavily invested in marketing and research programs to create products with exceptional quality. As technology advances </w:t>
            </w:r>
            <w:r>
              <w:rPr>
                <w:rFonts w:eastAsia="Calibri"/>
              </w:rPr>
              <w:t xml:space="preserve">and more </w:t>
            </w:r>
            <w:r w:rsidRPr="00533CDE">
              <w:rPr>
                <w:rFonts w:eastAsia="Calibri"/>
              </w:rPr>
              <w:t xml:space="preserve">alternative protein products </w:t>
            </w:r>
            <w:r>
              <w:rPr>
                <w:rFonts w:eastAsia="Calibri"/>
              </w:rPr>
              <w:t>come onto the market, state</w:t>
            </w:r>
            <w:r w:rsidRPr="00533CDE">
              <w:rPr>
                <w:rFonts w:eastAsia="Calibri"/>
              </w:rPr>
              <w:t xml:space="preserve"> regulations </w:t>
            </w:r>
            <w:r w:rsidR="007C6A1F">
              <w:rPr>
                <w:rFonts w:eastAsia="Calibri"/>
              </w:rPr>
              <w:t xml:space="preserve">around labeling standards </w:t>
            </w:r>
            <w:r>
              <w:rPr>
                <w:rFonts w:eastAsia="Calibri"/>
              </w:rPr>
              <w:t xml:space="preserve">need to be updated </w:t>
            </w:r>
            <w:r w:rsidRPr="00533CDE">
              <w:rPr>
                <w:rFonts w:eastAsia="Calibri"/>
              </w:rPr>
              <w:t xml:space="preserve">to promote fair competition in the market </w:t>
            </w:r>
            <w:r w:rsidR="007C6A1F">
              <w:rPr>
                <w:rFonts w:eastAsia="Calibri"/>
              </w:rPr>
              <w:t>and</w:t>
            </w:r>
            <w:r w:rsidR="00533CDE" w:rsidRPr="00533CDE">
              <w:rPr>
                <w:rFonts w:eastAsia="Calibri"/>
              </w:rPr>
              <w:t xml:space="preserve"> to strengthen consumers' understanding of what they are purchasing. </w:t>
            </w:r>
            <w:r w:rsidR="007C6A1F">
              <w:rPr>
                <w:rFonts w:eastAsia="Calibri"/>
              </w:rPr>
              <w:t>C.S.H.B.</w:t>
            </w:r>
            <w:r w:rsidR="00AB32FC">
              <w:rPr>
                <w:rFonts w:eastAsia="Calibri"/>
              </w:rPr>
              <w:t> </w:t>
            </w:r>
            <w:r w:rsidR="007C6A1F">
              <w:rPr>
                <w:rFonts w:eastAsia="Calibri"/>
              </w:rPr>
              <w:t>1788 seeks to provide for such an update by requiring analogue and cell-cultured products to be clearly labeled as such.</w:t>
            </w:r>
          </w:p>
          <w:p w14:paraId="585C261C" w14:textId="3451FBFD" w:rsidR="0064285A" w:rsidRPr="00E26B13" w:rsidRDefault="0064285A" w:rsidP="0064285A">
            <w:pPr>
              <w:jc w:val="both"/>
              <w:rPr>
                <w:b/>
              </w:rPr>
            </w:pPr>
          </w:p>
        </w:tc>
      </w:tr>
      <w:tr w:rsidR="00A7089E" w14:paraId="77BA8E85" w14:textId="77777777" w:rsidTr="00345119">
        <w:tc>
          <w:tcPr>
            <w:tcW w:w="9576" w:type="dxa"/>
          </w:tcPr>
          <w:p w14:paraId="3D7693D8" w14:textId="77777777" w:rsidR="0017725B" w:rsidRDefault="005E3560" w:rsidP="0064285A">
            <w:pPr>
              <w:rPr>
                <w:b/>
                <w:u w:val="single"/>
              </w:rPr>
            </w:pPr>
            <w:r>
              <w:rPr>
                <w:b/>
                <w:u w:val="single"/>
              </w:rPr>
              <w:t>CRIMINAL JUSTICE IMPACT</w:t>
            </w:r>
          </w:p>
          <w:p w14:paraId="09129EB6" w14:textId="77777777" w:rsidR="0017725B" w:rsidRDefault="0017725B" w:rsidP="0064285A">
            <w:pPr>
              <w:rPr>
                <w:b/>
                <w:u w:val="single"/>
              </w:rPr>
            </w:pPr>
          </w:p>
          <w:p w14:paraId="3B34DB01" w14:textId="75C28BE7" w:rsidR="00251A1C" w:rsidRPr="00251A1C" w:rsidRDefault="005E3560" w:rsidP="0064285A">
            <w:pPr>
              <w:jc w:val="both"/>
            </w:pPr>
            <w:r>
              <w:t xml:space="preserve">It is the committee's opinion that this bill does not expressly create a criminal offense, increase the punishment for an existing criminal offense or category of offenses, or change the eligibility of a person </w:t>
            </w:r>
            <w:r>
              <w:t>for community supervision, parole, or mandatory supervision.</w:t>
            </w:r>
          </w:p>
          <w:p w14:paraId="29CEA5C7" w14:textId="77777777" w:rsidR="0017725B" w:rsidRPr="0017725B" w:rsidRDefault="0017725B" w:rsidP="0064285A">
            <w:pPr>
              <w:rPr>
                <w:b/>
                <w:u w:val="single"/>
              </w:rPr>
            </w:pPr>
          </w:p>
        </w:tc>
      </w:tr>
      <w:tr w:rsidR="00A7089E" w14:paraId="0D07BEEE" w14:textId="77777777" w:rsidTr="00345119">
        <w:tc>
          <w:tcPr>
            <w:tcW w:w="9576" w:type="dxa"/>
          </w:tcPr>
          <w:p w14:paraId="4AFA6C3E" w14:textId="77777777" w:rsidR="008423E4" w:rsidRPr="00A8133F" w:rsidRDefault="005E3560" w:rsidP="0064285A">
            <w:pPr>
              <w:rPr>
                <w:b/>
              </w:rPr>
            </w:pPr>
            <w:r w:rsidRPr="009C1E9A">
              <w:rPr>
                <w:b/>
                <w:u w:val="single"/>
              </w:rPr>
              <w:t>RULEMAKING AUTHORITY</w:t>
            </w:r>
            <w:r>
              <w:rPr>
                <w:b/>
              </w:rPr>
              <w:t xml:space="preserve"> </w:t>
            </w:r>
          </w:p>
          <w:p w14:paraId="04175DF8" w14:textId="77777777" w:rsidR="008423E4" w:rsidRDefault="008423E4" w:rsidP="0064285A"/>
          <w:p w14:paraId="099E9E70" w14:textId="3A1501A3" w:rsidR="00251A1C" w:rsidRDefault="005E3560" w:rsidP="0064285A">
            <w:pPr>
              <w:pStyle w:val="Header"/>
              <w:tabs>
                <w:tab w:val="clear" w:pos="4320"/>
                <w:tab w:val="clear" w:pos="8640"/>
              </w:tabs>
              <w:jc w:val="both"/>
            </w:pPr>
            <w:r>
              <w:t xml:space="preserve">It is the committee's opinion that rulemaking authority is expressly granted to the executive commissioner of the Health and Human Services Commission in SECTION 4 of </w:t>
            </w:r>
            <w:r>
              <w:t>this bill.</w:t>
            </w:r>
          </w:p>
          <w:p w14:paraId="3BE9A265" w14:textId="77777777" w:rsidR="008423E4" w:rsidRPr="00E21FDC" w:rsidRDefault="008423E4" w:rsidP="0064285A">
            <w:pPr>
              <w:rPr>
                <w:b/>
              </w:rPr>
            </w:pPr>
          </w:p>
        </w:tc>
      </w:tr>
      <w:tr w:rsidR="00A7089E" w14:paraId="4E51F12A" w14:textId="77777777" w:rsidTr="00345119">
        <w:tc>
          <w:tcPr>
            <w:tcW w:w="9576" w:type="dxa"/>
          </w:tcPr>
          <w:p w14:paraId="7D3479D0" w14:textId="77777777" w:rsidR="008423E4" w:rsidRPr="00A8133F" w:rsidRDefault="005E3560" w:rsidP="0064285A">
            <w:pPr>
              <w:rPr>
                <w:b/>
              </w:rPr>
            </w:pPr>
            <w:r w:rsidRPr="009C1E9A">
              <w:rPr>
                <w:b/>
                <w:u w:val="single"/>
              </w:rPr>
              <w:t>ANALYSIS</w:t>
            </w:r>
            <w:r>
              <w:rPr>
                <w:b/>
              </w:rPr>
              <w:t xml:space="preserve"> </w:t>
            </w:r>
          </w:p>
          <w:p w14:paraId="61321A18" w14:textId="77777777" w:rsidR="008423E4" w:rsidRDefault="008423E4" w:rsidP="0064285A"/>
          <w:p w14:paraId="7238F1C6" w14:textId="1439F30A" w:rsidR="000046B4" w:rsidRDefault="005E3560" w:rsidP="0064285A">
            <w:pPr>
              <w:pStyle w:val="Header"/>
              <w:jc w:val="both"/>
            </w:pPr>
            <w:r>
              <w:t>C.S.</w:t>
            </w:r>
            <w:r w:rsidR="006B7892">
              <w:t xml:space="preserve">H.B. 1788 amends the Health and Safety Code to </w:t>
            </w:r>
            <w:r w:rsidR="00AE4A50">
              <w:t>establish</w:t>
            </w:r>
            <w:r>
              <w:t xml:space="preserve"> that, </w:t>
            </w:r>
            <w:r w:rsidR="0099242E">
              <w:t>with respect to</w:t>
            </w:r>
            <w:r>
              <w:t xml:space="preserve"> the Texas Food, Drug, and Cosmetic Act, </w:t>
            </w:r>
            <w:r w:rsidR="00142250">
              <w:t xml:space="preserve">an analogue product of meat, a meat food product, poultry, a poultry product, an egg product, or fish </w:t>
            </w:r>
            <w:r>
              <w:t xml:space="preserve">is deemed to be misbranded unless </w:t>
            </w:r>
            <w:r w:rsidR="00142250">
              <w:t xml:space="preserve">its label bears in prominent type </w:t>
            </w:r>
            <w:r>
              <w:t xml:space="preserve">equal to or greater in size than the surrounding type and in close proximity to </w:t>
            </w:r>
            <w:r w:rsidR="00142250">
              <w:t>the product</w:t>
            </w:r>
            <w:r w:rsidR="00AE4A50">
              <w:t xml:space="preserve"> name</w:t>
            </w:r>
            <w:r>
              <w:t xml:space="preserve"> </w:t>
            </w:r>
            <w:r w:rsidR="00142250">
              <w:t>"analogue</w:t>
            </w:r>
            <w:r>
              <w:t>,</w:t>
            </w:r>
            <w:r w:rsidR="00142250">
              <w:t>"</w:t>
            </w:r>
            <w:r>
              <w:t xml:space="preserve"> </w:t>
            </w:r>
            <w:r w:rsidR="00142250">
              <w:t>"meatless</w:t>
            </w:r>
            <w:r>
              <w:t>,</w:t>
            </w:r>
            <w:r w:rsidR="00142250">
              <w:t>"</w:t>
            </w:r>
            <w:r>
              <w:t xml:space="preserve"> </w:t>
            </w:r>
            <w:r w:rsidR="00142250">
              <w:t>"plant</w:t>
            </w:r>
            <w:r w:rsidR="00F31A42">
              <w:noBreakHyphen/>
            </w:r>
            <w:r w:rsidR="00142250">
              <w:t>based</w:t>
            </w:r>
            <w:r>
              <w:t>,</w:t>
            </w:r>
            <w:r w:rsidR="00142250">
              <w:t>"</w:t>
            </w:r>
            <w:r>
              <w:t xml:space="preserve"> </w:t>
            </w:r>
            <w:r w:rsidR="00142250">
              <w:t>"made from plants</w:t>
            </w:r>
            <w:r>
              <w:t>,</w:t>
            </w:r>
            <w:r w:rsidR="00142250">
              <w:t>" or</w:t>
            </w:r>
            <w:r>
              <w:t xml:space="preserve"> </w:t>
            </w:r>
            <w:r w:rsidR="00142250">
              <w:t>a similar qualifying term or disclaimer intended to clearly communicate</w:t>
            </w:r>
            <w:r w:rsidR="00AE4A50">
              <w:t xml:space="preserve"> the product's contents</w:t>
            </w:r>
            <w:r w:rsidR="00142250">
              <w:t xml:space="preserve"> to a consumer</w:t>
            </w:r>
            <w:r w:rsidR="008E3D47">
              <w:t>.</w:t>
            </w:r>
            <w:r>
              <w:t xml:space="preserve"> For purposes of </w:t>
            </w:r>
            <w:r w:rsidR="0099242E">
              <w:t>that act</w:t>
            </w:r>
            <w:r>
              <w:t xml:space="preserve">, the bill defines </w:t>
            </w:r>
            <w:r w:rsidRPr="000046B4">
              <w:t>"</w:t>
            </w:r>
            <w:r>
              <w:t>a</w:t>
            </w:r>
            <w:r w:rsidRPr="000046B4">
              <w:t xml:space="preserve">nalogue product" </w:t>
            </w:r>
            <w:r>
              <w:t>as</w:t>
            </w:r>
            <w:r w:rsidRPr="000046B4">
              <w:t xml:space="preserve"> a food product derived by combining process</w:t>
            </w:r>
            <w:r w:rsidRPr="000046B4">
              <w:t>ed plant products, insects, or fungus with food additives to approximate the texture, flavor, appearance, or other aesthetic qualities or the chemical characteristics of any specific type of egg, egg product, fish, meat, meat food product, poultry, or poul</w:t>
            </w:r>
            <w:r w:rsidRPr="000046B4">
              <w:t>try product.</w:t>
            </w:r>
            <w:r>
              <w:t xml:space="preserve"> The bill assigns the terms "egg," "egg product," "fish," "meat," "meat food product," "poultry," and "poultry product" the meanings assigned under applicable federal law</w:t>
            </w:r>
            <w:r w:rsidR="00E66DF5">
              <w:t xml:space="preserve"> and regulations</w:t>
            </w:r>
            <w:r>
              <w:t xml:space="preserve"> and </w:t>
            </w:r>
            <w:r w:rsidR="00E66DF5">
              <w:t>establishes</w:t>
            </w:r>
            <w:r>
              <w:t xml:space="preserve"> that these terms do not include </w:t>
            </w:r>
            <w:r w:rsidR="0099242E">
              <w:t xml:space="preserve">either </w:t>
            </w:r>
            <w:r>
              <w:t>an</w:t>
            </w:r>
            <w:r>
              <w:t xml:space="preserve"> analogue </w:t>
            </w:r>
            <w:r w:rsidR="0099242E">
              <w:t xml:space="preserve">product </w:t>
            </w:r>
            <w:r>
              <w:t xml:space="preserve">or </w:t>
            </w:r>
            <w:r w:rsidR="0099242E">
              <w:t xml:space="preserve">a </w:t>
            </w:r>
            <w:r>
              <w:t>cell-cultured product</w:t>
            </w:r>
            <w:r w:rsidR="00F04321">
              <w:t xml:space="preserve">, which is </w:t>
            </w:r>
            <w:r w:rsidR="00C85946">
              <w:t xml:space="preserve">defined in the bill as </w:t>
            </w:r>
            <w:r w:rsidR="00F04321" w:rsidRPr="00F04321">
              <w:t>a food product derived by harvesting animal cells and artificially replicating those cells in a growth medium in a laboratory to produce tissue.</w:t>
            </w:r>
            <w:r w:rsidR="00A93875">
              <w:t xml:space="preserve"> </w:t>
            </w:r>
            <w:r w:rsidR="006565E4">
              <w:t>Moreover, the bill establishes that "close proximity" means immediately before or after the product name, in the line of the label immediately before or after the line containing the product name, or within the same phrase or sentence containing the product name.</w:t>
            </w:r>
          </w:p>
          <w:p w14:paraId="344C20D1" w14:textId="65D1AC93" w:rsidR="008E3D47" w:rsidRDefault="008E3D47" w:rsidP="0064285A">
            <w:pPr>
              <w:pStyle w:val="Header"/>
              <w:tabs>
                <w:tab w:val="clear" w:pos="4320"/>
                <w:tab w:val="clear" w:pos="8640"/>
              </w:tabs>
              <w:jc w:val="both"/>
            </w:pPr>
          </w:p>
          <w:p w14:paraId="3E229A74" w14:textId="0E2D77DD" w:rsidR="008E3D47" w:rsidRDefault="005E3560" w:rsidP="0064285A">
            <w:pPr>
              <w:pStyle w:val="Header"/>
              <w:tabs>
                <w:tab w:val="clear" w:pos="4320"/>
                <w:tab w:val="clear" w:pos="8640"/>
              </w:tabs>
              <w:jc w:val="both"/>
            </w:pPr>
            <w:r>
              <w:t>C.S.H.B. 1</w:t>
            </w:r>
            <w:r>
              <w:t xml:space="preserve">788 requires a cell-cultured product to be labeled </w:t>
            </w:r>
            <w:r w:rsidR="00F04321">
              <w:t xml:space="preserve">in </w:t>
            </w:r>
            <w:r>
              <w:t>prominent type equal to or greater in size than the surrounding type and in close proximity to</w:t>
            </w:r>
            <w:r w:rsidR="00AF40FF">
              <w:t xml:space="preserve"> </w:t>
            </w:r>
            <w:r>
              <w:t>the</w:t>
            </w:r>
            <w:r w:rsidR="00F04321">
              <w:t xml:space="preserve"> product</w:t>
            </w:r>
            <w:r>
              <w:t xml:space="preserve"> name using</w:t>
            </w:r>
            <w:r w:rsidR="00F04321">
              <w:t xml:space="preserve"> </w:t>
            </w:r>
            <w:r>
              <w:t>the labels</w:t>
            </w:r>
            <w:r w:rsidR="00F04321">
              <w:t xml:space="preserve"> </w:t>
            </w:r>
            <w:r>
              <w:t>"cell-cultured"</w:t>
            </w:r>
            <w:r w:rsidR="00F04321">
              <w:t xml:space="preserve"> or </w:t>
            </w:r>
            <w:r>
              <w:t>"lab-grown" or</w:t>
            </w:r>
            <w:r w:rsidR="00F04321">
              <w:t xml:space="preserve"> </w:t>
            </w:r>
            <w:r>
              <w:t>a similar qualifying term or disclaimer</w:t>
            </w:r>
            <w:r>
              <w:t xml:space="preserve"> intended to clearly communicate </w:t>
            </w:r>
            <w:r w:rsidR="00E35019">
              <w:t xml:space="preserve">the product's contents </w:t>
            </w:r>
            <w:r>
              <w:t>to a consumer.</w:t>
            </w:r>
            <w:r w:rsidR="00F04321">
              <w:t xml:space="preserve"> </w:t>
            </w:r>
            <w:r>
              <w:t xml:space="preserve">The bill </w:t>
            </w:r>
            <w:r w:rsidR="00E35019">
              <w:t>subjects a cell-cultured product to</w:t>
            </w:r>
            <w:r w:rsidR="004651B5">
              <w:t xml:space="preserve"> the</w:t>
            </w:r>
            <w:r w:rsidR="00F04321">
              <w:t xml:space="preserve"> </w:t>
            </w:r>
            <w:r>
              <w:t xml:space="preserve">provisions </w:t>
            </w:r>
            <w:r w:rsidR="00F04321">
              <w:t>of the Texas Meat and Poultry Inspection Act relating to labeling and other standards</w:t>
            </w:r>
            <w:r>
              <w:t>, as applicable.</w:t>
            </w:r>
          </w:p>
          <w:p w14:paraId="2B9935B2" w14:textId="77777777" w:rsidR="008E3D47" w:rsidRDefault="008E3D47" w:rsidP="0064285A">
            <w:pPr>
              <w:pStyle w:val="Header"/>
              <w:tabs>
                <w:tab w:val="clear" w:pos="4320"/>
                <w:tab w:val="clear" w:pos="8640"/>
              </w:tabs>
              <w:jc w:val="both"/>
            </w:pPr>
          </w:p>
          <w:p w14:paraId="53460422" w14:textId="77777777" w:rsidR="004651B5" w:rsidRDefault="005E3560" w:rsidP="0064285A">
            <w:pPr>
              <w:pStyle w:val="Header"/>
              <w:tabs>
                <w:tab w:val="clear" w:pos="4320"/>
                <w:tab w:val="clear" w:pos="8640"/>
              </w:tabs>
              <w:jc w:val="both"/>
            </w:pPr>
            <w:r>
              <w:t>C.S.</w:t>
            </w:r>
            <w:r w:rsidR="008E3D47">
              <w:t xml:space="preserve">H.B. 1788 </w:t>
            </w:r>
            <w:r w:rsidR="00251A1C">
              <w:t>requires the executive commissioner of the Health and Human Services Commission to adopt</w:t>
            </w:r>
            <w:r>
              <w:t xml:space="preserve"> any</w:t>
            </w:r>
            <w:r w:rsidR="00251A1C">
              <w:t xml:space="preserve"> rules necessary to implement the bill's provisions. </w:t>
            </w:r>
          </w:p>
          <w:p w14:paraId="1827EA3D" w14:textId="2666DD56" w:rsidR="0064285A" w:rsidRPr="008E3D47" w:rsidRDefault="0064285A" w:rsidP="0064285A">
            <w:pPr>
              <w:pStyle w:val="Header"/>
              <w:tabs>
                <w:tab w:val="clear" w:pos="4320"/>
                <w:tab w:val="clear" w:pos="8640"/>
              </w:tabs>
              <w:jc w:val="both"/>
            </w:pPr>
          </w:p>
        </w:tc>
      </w:tr>
      <w:tr w:rsidR="00A7089E" w14:paraId="182E3588" w14:textId="77777777" w:rsidTr="00345119">
        <w:tc>
          <w:tcPr>
            <w:tcW w:w="9576" w:type="dxa"/>
          </w:tcPr>
          <w:p w14:paraId="389DAB47" w14:textId="77777777" w:rsidR="008423E4" w:rsidRPr="00A8133F" w:rsidRDefault="005E3560" w:rsidP="0064285A">
            <w:pPr>
              <w:rPr>
                <w:b/>
              </w:rPr>
            </w:pPr>
            <w:r w:rsidRPr="009C1E9A">
              <w:rPr>
                <w:b/>
                <w:u w:val="single"/>
              </w:rPr>
              <w:t>EFFECTIVE DATE</w:t>
            </w:r>
            <w:r>
              <w:rPr>
                <w:b/>
              </w:rPr>
              <w:t xml:space="preserve"> </w:t>
            </w:r>
          </w:p>
          <w:p w14:paraId="13C0A687" w14:textId="77777777" w:rsidR="008423E4" w:rsidRDefault="008423E4" w:rsidP="0064285A"/>
          <w:p w14:paraId="60C13373" w14:textId="6ECAB3AB" w:rsidR="008423E4" w:rsidRPr="003624F2" w:rsidRDefault="005E3560" w:rsidP="0064285A">
            <w:pPr>
              <w:pStyle w:val="Header"/>
              <w:tabs>
                <w:tab w:val="clear" w:pos="4320"/>
                <w:tab w:val="clear" w:pos="8640"/>
              </w:tabs>
              <w:jc w:val="both"/>
            </w:pPr>
            <w:r>
              <w:t>September 1, 2023.</w:t>
            </w:r>
          </w:p>
          <w:p w14:paraId="6EDFBBA2" w14:textId="77777777" w:rsidR="008423E4" w:rsidRPr="00233FDB" w:rsidRDefault="008423E4" w:rsidP="0064285A">
            <w:pPr>
              <w:rPr>
                <w:b/>
              </w:rPr>
            </w:pPr>
          </w:p>
        </w:tc>
      </w:tr>
      <w:tr w:rsidR="00A7089E" w14:paraId="5BAADBDC" w14:textId="77777777" w:rsidTr="00345119">
        <w:tc>
          <w:tcPr>
            <w:tcW w:w="9576" w:type="dxa"/>
          </w:tcPr>
          <w:p w14:paraId="646D1617" w14:textId="77777777" w:rsidR="00912ADB" w:rsidRDefault="005E3560" w:rsidP="0064285A">
            <w:pPr>
              <w:jc w:val="both"/>
              <w:rPr>
                <w:b/>
                <w:u w:val="single"/>
              </w:rPr>
            </w:pPr>
            <w:r>
              <w:rPr>
                <w:b/>
                <w:u w:val="single"/>
              </w:rPr>
              <w:t>COMPARISON OF INTRODUCED AND SUBSTITUTE</w:t>
            </w:r>
          </w:p>
          <w:p w14:paraId="187C0338" w14:textId="77777777" w:rsidR="00776A16" w:rsidRDefault="00776A16" w:rsidP="0064285A">
            <w:pPr>
              <w:jc w:val="both"/>
            </w:pPr>
          </w:p>
          <w:p w14:paraId="10BF1C0E" w14:textId="3DAD799E" w:rsidR="00776A16" w:rsidRPr="00D42382" w:rsidRDefault="005E3560" w:rsidP="0064285A">
            <w:pPr>
              <w:jc w:val="both"/>
            </w:pPr>
            <w:r>
              <w:t>While C.S.H.B. 1788 may differ from t</w:t>
            </w:r>
            <w:r>
              <w:t>he introduced in minor or nonsubstantive ways, the following summarizes the substantial differences between the introduced and committee substitute versions of the bill.</w:t>
            </w:r>
            <w:r w:rsidRPr="00D42382">
              <w:t xml:space="preserve"> </w:t>
            </w:r>
          </w:p>
          <w:p w14:paraId="1FFE8D03" w14:textId="03747C6B" w:rsidR="00776A16" w:rsidRPr="00D42382" w:rsidRDefault="00776A16" w:rsidP="0064285A">
            <w:pPr>
              <w:jc w:val="both"/>
            </w:pPr>
          </w:p>
          <w:p w14:paraId="26D5BD8F" w14:textId="28C57F7E" w:rsidR="00776A16" w:rsidRDefault="005E3560" w:rsidP="0064285A">
            <w:pPr>
              <w:jc w:val="both"/>
            </w:pPr>
            <w:r w:rsidRPr="00D42382">
              <w:t xml:space="preserve">Whereas the </w:t>
            </w:r>
            <w:r w:rsidR="00D42382" w:rsidRPr="00D42382">
              <w:t>introduced require</w:t>
            </w:r>
            <w:r w:rsidR="00533CDE">
              <w:t>d</w:t>
            </w:r>
            <w:r w:rsidR="00D42382" w:rsidRPr="00D42382">
              <w:t xml:space="preserve"> the </w:t>
            </w:r>
            <w:r w:rsidR="00533CDE">
              <w:t xml:space="preserve">disclosure </w:t>
            </w:r>
            <w:r w:rsidR="00D42382" w:rsidRPr="00D42382">
              <w:t xml:space="preserve">on an analogue </w:t>
            </w:r>
            <w:r w:rsidR="00533CDE">
              <w:t>or</w:t>
            </w:r>
            <w:r w:rsidR="00D42382" w:rsidRPr="00D42382">
              <w:t xml:space="preserve"> cell-cultured product to be of uniform size immediately before the name of the product, the substitute requires </w:t>
            </w:r>
            <w:r w:rsidR="00533CDE">
              <w:t xml:space="preserve">instead that </w:t>
            </w:r>
            <w:r w:rsidR="00D42382" w:rsidRPr="00D42382">
              <w:t xml:space="preserve">the </w:t>
            </w:r>
            <w:r w:rsidR="00533CDE">
              <w:t xml:space="preserve">products be </w:t>
            </w:r>
            <w:r w:rsidR="00D42382" w:rsidRPr="00D42382">
              <w:t>label</w:t>
            </w:r>
            <w:r w:rsidR="00533CDE">
              <w:t>ed</w:t>
            </w:r>
            <w:r w:rsidR="00D42382" w:rsidRPr="00D42382">
              <w:t xml:space="preserve"> in prominent type equal to or greater in size than the surrounding type and in close proximity to the </w:t>
            </w:r>
            <w:r w:rsidR="00533CDE">
              <w:t xml:space="preserve">product </w:t>
            </w:r>
            <w:r w:rsidR="00D42382" w:rsidRPr="00D42382">
              <w:t>name.</w:t>
            </w:r>
            <w:r w:rsidR="00533CDE">
              <w:t xml:space="preserve"> The substitute also includes a corresponding definition of "close proximity" that was not in the introduced.</w:t>
            </w:r>
            <w:r w:rsidR="00D42382" w:rsidRPr="00D42382">
              <w:t xml:space="preserve"> </w:t>
            </w:r>
          </w:p>
          <w:p w14:paraId="3C386C98" w14:textId="7D05BB81" w:rsidR="00776A16" w:rsidRPr="00776A16" w:rsidRDefault="00776A16" w:rsidP="0064285A">
            <w:pPr>
              <w:jc w:val="both"/>
            </w:pPr>
          </w:p>
        </w:tc>
      </w:tr>
      <w:tr w:rsidR="00A7089E" w14:paraId="4FCF41A6" w14:textId="77777777" w:rsidTr="00345119">
        <w:tc>
          <w:tcPr>
            <w:tcW w:w="9576" w:type="dxa"/>
          </w:tcPr>
          <w:p w14:paraId="48FA9266" w14:textId="77777777" w:rsidR="00912ADB" w:rsidRPr="009C1E9A" w:rsidRDefault="00912ADB" w:rsidP="0064285A">
            <w:pPr>
              <w:rPr>
                <w:b/>
                <w:u w:val="single"/>
              </w:rPr>
            </w:pPr>
          </w:p>
        </w:tc>
      </w:tr>
      <w:tr w:rsidR="00A7089E" w14:paraId="0E9DCC3E" w14:textId="77777777" w:rsidTr="00345119">
        <w:tc>
          <w:tcPr>
            <w:tcW w:w="9576" w:type="dxa"/>
          </w:tcPr>
          <w:p w14:paraId="3DAF7164" w14:textId="77777777" w:rsidR="00912ADB" w:rsidRPr="00912ADB" w:rsidRDefault="00912ADB" w:rsidP="0064285A">
            <w:pPr>
              <w:jc w:val="both"/>
            </w:pPr>
          </w:p>
        </w:tc>
      </w:tr>
    </w:tbl>
    <w:p w14:paraId="3FC869AA" w14:textId="77777777" w:rsidR="008423E4" w:rsidRPr="00BE0E75" w:rsidRDefault="008423E4" w:rsidP="0064285A">
      <w:pPr>
        <w:jc w:val="both"/>
        <w:rPr>
          <w:rFonts w:ascii="Arial" w:hAnsi="Arial"/>
          <w:sz w:val="16"/>
          <w:szCs w:val="16"/>
        </w:rPr>
      </w:pPr>
    </w:p>
    <w:p w14:paraId="068A6EA3" w14:textId="77777777" w:rsidR="004108C3" w:rsidRPr="008423E4" w:rsidRDefault="004108C3" w:rsidP="0064285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9D12" w14:textId="77777777" w:rsidR="00000000" w:rsidRDefault="005E3560">
      <w:r>
        <w:separator/>
      </w:r>
    </w:p>
  </w:endnote>
  <w:endnote w:type="continuationSeparator" w:id="0">
    <w:p w14:paraId="06F775B5" w14:textId="77777777" w:rsidR="00000000" w:rsidRDefault="005E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936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7089E" w14:paraId="38316A1F" w14:textId="77777777" w:rsidTr="009C1E9A">
      <w:trPr>
        <w:cantSplit/>
      </w:trPr>
      <w:tc>
        <w:tcPr>
          <w:tcW w:w="0" w:type="pct"/>
        </w:tcPr>
        <w:p w14:paraId="64915C14" w14:textId="77777777" w:rsidR="00137D90" w:rsidRDefault="00137D90" w:rsidP="009C1E9A">
          <w:pPr>
            <w:pStyle w:val="Footer"/>
            <w:tabs>
              <w:tab w:val="clear" w:pos="8640"/>
              <w:tab w:val="right" w:pos="9360"/>
            </w:tabs>
          </w:pPr>
        </w:p>
      </w:tc>
      <w:tc>
        <w:tcPr>
          <w:tcW w:w="2395" w:type="pct"/>
        </w:tcPr>
        <w:p w14:paraId="3786469B" w14:textId="77777777" w:rsidR="00137D90" w:rsidRDefault="00137D90" w:rsidP="009C1E9A">
          <w:pPr>
            <w:pStyle w:val="Footer"/>
            <w:tabs>
              <w:tab w:val="clear" w:pos="8640"/>
              <w:tab w:val="right" w:pos="9360"/>
            </w:tabs>
          </w:pPr>
        </w:p>
        <w:p w14:paraId="354F6BE5" w14:textId="77777777" w:rsidR="001A4310" w:rsidRDefault="001A4310" w:rsidP="009C1E9A">
          <w:pPr>
            <w:pStyle w:val="Footer"/>
            <w:tabs>
              <w:tab w:val="clear" w:pos="8640"/>
              <w:tab w:val="right" w:pos="9360"/>
            </w:tabs>
          </w:pPr>
        </w:p>
        <w:p w14:paraId="42EB03E3" w14:textId="77777777" w:rsidR="00137D90" w:rsidRDefault="00137D90" w:rsidP="009C1E9A">
          <w:pPr>
            <w:pStyle w:val="Footer"/>
            <w:tabs>
              <w:tab w:val="clear" w:pos="8640"/>
              <w:tab w:val="right" w:pos="9360"/>
            </w:tabs>
          </w:pPr>
        </w:p>
      </w:tc>
      <w:tc>
        <w:tcPr>
          <w:tcW w:w="2453" w:type="pct"/>
        </w:tcPr>
        <w:p w14:paraId="4D00F12F" w14:textId="77777777" w:rsidR="00137D90" w:rsidRDefault="00137D90" w:rsidP="009C1E9A">
          <w:pPr>
            <w:pStyle w:val="Footer"/>
            <w:tabs>
              <w:tab w:val="clear" w:pos="8640"/>
              <w:tab w:val="right" w:pos="9360"/>
            </w:tabs>
            <w:jc w:val="right"/>
          </w:pPr>
        </w:p>
      </w:tc>
    </w:tr>
    <w:tr w:rsidR="00A7089E" w14:paraId="566FF65C" w14:textId="77777777" w:rsidTr="009C1E9A">
      <w:trPr>
        <w:cantSplit/>
      </w:trPr>
      <w:tc>
        <w:tcPr>
          <w:tcW w:w="0" w:type="pct"/>
        </w:tcPr>
        <w:p w14:paraId="5AC0FD21" w14:textId="77777777" w:rsidR="00EC379B" w:rsidRDefault="00EC379B" w:rsidP="009C1E9A">
          <w:pPr>
            <w:pStyle w:val="Footer"/>
            <w:tabs>
              <w:tab w:val="clear" w:pos="8640"/>
              <w:tab w:val="right" w:pos="9360"/>
            </w:tabs>
          </w:pPr>
        </w:p>
      </w:tc>
      <w:tc>
        <w:tcPr>
          <w:tcW w:w="2395" w:type="pct"/>
        </w:tcPr>
        <w:p w14:paraId="38BBBAF9" w14:textId="096789A2" w:rsidR="00EC379B" w:rsidRPr="009C1E9A" w:rsidRDefault="005E3560" w:rsidP="009C1E9A">
          <w:pPr>
            <w:pStyle w:val="Footer"/>
            <w:tabs>
              <w:tab w:val="clear" w:pos="8640"/>
              <w:tab w:val="right" w:pos="9360"/>
            </w:tabs>
            <w:rPr>
              <w:rFonts w:ascii="Shruti" w:hAnsi="Shruti"/>
              <w:sz w:val="22"/>
            </w:rPr>
          </w:pPr>
          <w:r>
            <w:rPr>
              <w:rFonts w:ascii="Shruti" w:hAnsi="Shruti"/>
              <w:sz w:val="22"/>
            </w:rPr>
            <w:t>88R 23768-D</w:t>
          </w:r>
        </w:p>
      </w:tc>
      <w:tc>
        <w:tcPr>
          <w:tcW w:w="2453" w:type="pct"/>
        </w:tcPr>
        <w:p w14:paraId="1500B016" w14:textId="46395078" w:rsidR="00EC379B" w:rsidRDefault="005E3560" w:rsidP="009C1E9A">
          <w:pPr>
            <w:pStyle w:val="Footer"/>
            <w:tabs>
              <w:tab w:val="clear" w:pos="8640"/>
              <w:tab w:val="right" w:pos="9360"/>
            </w:tabs>
            <w:jc w:val="right"/>
          </w:pPr>
          <w:r>
            <w:fldChar w:fldCharType="begin"/>
          </w:r>
          <w:r>
            <w:instrText xml:space="preserve"> DOCPROPERTY  OTID  \* MERGEFORMAT </w:instrText>
          </w:r>
          <w:r>
            <w:fldChar w:fldCharType="separate"/>
          </w:r>
          <w:r w:rsidR="00575BDE">
            <w:t>23.106.158</w:t>
          </w:r>
          <w:r>
            <w:fldChar w:fldCharType="end"/>
          </w:r>
        </w:p>
      </w:tc>
    </w:tr>
    <w:tr w:rsidR="00A7089E" w14:paraId="5728D27D" w14:textId="77777777" w:rsidTr="009C1E9A">
      <w:trPr>
        <w:cantSplit/>
      </w:trPr>
      <w:tc>
        <w:tcPr>
          <w:tcW w:w="0" w:type="pct"/>
        </w:tcPr>
        <w:p w14:paraId="204B145F" w14:textId="77777777" w:rsidR="00EC379B" w:rsidRDefault="00EC379B" w:rsidP="009C1E9A">
          <w:pPr>
            <w:pStyle w:val="Footer"/>
            <w:tabs>
              <w:tab w:val="clear" w:pos="4320"/>
              <w:tab w:val="clear" w:pos="8640"/>
              <w:tab w:val="left" w:pos="2865"/>
            </w:tabs>
          </w:pPr>
        </w:p>
      </w:tc>
      <w:tc>
        <w:tcPr>
          <w:tcW w:w="2395" w:type="pct"/>
        </w:tcPr>
        <w:p w14:paraId="7B593808" w14:textId="44F1F53C" w:rsidR="00EC379B" w:rsidRPr="009C1E9A" w:rsidRDefault="005E3560"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19792</w:t>
          </w:r>
        </w:p>
      </w:tc>
      <w:tc>
        <w:tcPr>
          <w:tcW w:w="2453" w:type="pct"/>
        </w:tcPr>
        <w:p w14:paraId="28C77B9A" w14:textId="77777777" w:rsidR="00EC379B" w:rsidRDefault="00EC379B" w:rsidP="006D504F">
          <w:pPr>
            <w:pStyle w:val="Footer"/>
            <w:rPr>
              <w:rStyle w:val="PageNumber"/>
            </w:rPr>
          </w:pPr>
        </w:p>
        <w:p w14:paraId="07DD7D9E" w14:textId="77777777" w:rsidR="00EC379B" w:rsidRDefault="00EC379B" w:rsidP="009C1E9A">
          <w:pPr>
            <w:pStyle w:val="Footer"/>
            <w:tabs>
              <w:tab w:val="clear" w:pos="8640"/>
              <w:tab w:val="right" w:pos="9360"/>
            </w:tabs>
            <w:jc w:val="right"/>
          </w:pPr>
        </w:p>
      </w:tc>
    </w:tr>
    <w:tr w:rsidR="00A7089E" w14:paraId="4698344B" w14:textId="77777777" w:rsidTr="009C1E9A">
      <w:trPr>
        <w:cantSplit/>
        <w:trHeight w:val="323"/>
      </w:trPr>
      <w:tc>
        <w:tcPr>
          <w:tcW w:w="0" w:type="pct"/>
          <w:gridSpan w:val="3"/>
        </w:tcPr>
        <w:p w14:paraId="541FF92C" w14:textId="77777777" w:rsidR="00EC379B" w:rsidRDefault="005E356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A6FF2C" w14:textId="77777777" w:rsidR="00EC379B" w:rsidRDefault="00EC379B" w:rsidP="009C1E9A">
          <w:pPr>
            <w:pStyle w:val="Footer"/>
            <w:tabs>
              <w:tab w:val="clear" w:pos="8640"/>
              <w:tab w:val="right" w:pos="9360"/>
            </w:tabs>
            <w:jc w:val="center"/>
          </w:pPr>
        </w:p>
      </w:tc>
    </w:tr>
  </w:tbl>
  <w:p w14:paraId="581AFE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F51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4309" w14:textId="77777777" w:rsidR="00000000" w:rsidRDefault="005E3560">
      <w:r>
        <w:separator/>
      </w:r>
    </w:p>
  </w:footnote>
  <w:footnote w:type="continuationSeparator" w:id="0">
    <w:p w14:paraId="5562EE97" w14:textId="77777777" w:rsidR="00000000" w:rsidRDefault="005E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8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149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0E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62D4"/>
    <w:multiLevelType w:val="hybridMultilevel"/>
    <w:tmpl w:val="731EDB32"/>
    <w:lvl w:ilvl="0" w:tplc="F126CC08">
      <w:start w:val="1"/>
      <w:numFmt w:val="bullet"/>
      <w:lvlText w:val=""/>
      <w:lvlJc w:val="left"/>
      <w:pPr>
        <w:tabs>
          <w:tab w:val="num" w:pos="720"/>
        </w:tabs>
        <w:ind w:left="720" w:hanging="360"/>
      </w:pPr>
      <w:rPr>
        <w:rFonts w:ascii="Symbol" w:hAnsi="Symbol" w:hint="default"/>
      </w:rPr>
    </w:lvl>
    <w:lvl w:ilvl="1" w:tplc="D8141C32" w:tentative="1">
      <w:start w:val="1"/>
      <w:numFmt w:val="bullet"/>
      <w:lvlText w:val="o"/>
      <w:lvlJc w:val="left"/>
      <w:pPr>
        <w:ind w:left="1440" w:hanging="360"/>
      </w:pPr>
      <w:rPr>
        <w:rFonts w:ascii="Courier New" w:hAnsi="Courier New" w:cs="Courier New" w:hint="default"/>
      </w:rPr>
    </w:lvl>
    <w:lvl w:ilvl="2" w:tplc="E8D0229C" w:tentative="1">
      <w:start w:val="1"/>
      <w:numFmt w:val="bullet"/>
      <w:lvlText w:val=""/>
      <w:lvlJc w:val="left"/>
      <w:pPr>
        <w:ind w:left="2160" w:hanging="360"/>
      </w:pPr>
      <w:rPr>
        <w:rFonts w:ascii="Wingdings" w:hAnsi="Wingdings" w:hint="default"/>
      </w:rPr>
    </w:lvl>
    <w:lvl w:ilvl="3" w:tplc="22E2B934" w:tentative="1">
      <w:start w:val="1"/>
      <w:numFmt w:val="bullet"/>
      <w:lvlText w:val=""/>
      <w:lvlJc w:val="left"/>
      <w:pPr>
        <w:ind w:left="2880" w:hanging="360"/>
      </w:pPr>
      <w:rPr>
        <w:rFonts w:ascii="Symbol" w:hAnsi="Symbol" w:hint="default"/>
      </w:rPr>
    </w:lvl>
    <w:lvl w:ilvl="4" w:tplc="7A66028E" w:tentative="1">
      <w:start w:val="1"/>
      <w:numFmt w:val="bullet"/>
      <w:lvlText w:val="o"/>
      <w:lvlJc w:val="left"/>
      <w:pPr>
        <w:ind w:left="3600" w:hanging="360"/>
      </w:pPr>
      <w:rPr>
        <w:rFonts w:ascii="Courier New" w:hAnsi="Courier New" w:cs="Courier New" w:hint="default"/>
      </w:rPr>
    </w:lvl>
    <w:lvl w:ilvl="5" w:tplc="7F882628" w:tentative="1">
      <w:start w:val="1"/>
      <w:numFmt w:val="bullet"/>
      <w:lvlText w:val=""/>
      <w:lvlJc w:val="left"/>
      <w:pPr>
        <w:ind w:left="4320" w:hanging="360"/>
      </w:pPr>
      <w:rPr>
        <w:rFonts w:ascii="Wingdings" w:hAnsi="Wingdings" w:hint="default"/>
      </w:rPr>
    </w:lvl>
    <w:lvl w:ilvl="6" w:tplc="4A9CD2D4" w:tentative="1">
      <w:start w:val="1"/>
      <w:numFmt w:val="bullet"/>
      <w:lvlText w:val=""/>
      <w:lvlJc w:val="left"/>
      <w:pPr>
        <w:ind w:left="5040" w:hanging="360"/>
      </w:pPr>
      <w:rPr>
        <w:rFonts w:ascii="Symbol" w:hAnsi="Symbol" w:hint="default"/>
      </w:rPr>
    </w:lvl>
    <w:lvl w:ilvl="7" w:tplc="C12C39A6" w:tentative="1">
      <w:start w:val="1"/>
      <w:numFmt w:val="bullet"/>
      <w:lvlText w:val="o"/>
      <w:lvlJc w:val="left"/>
      <w:pPr>
        <w:ind w:left="5760" w:hanging="360"/>
      </w:pPr>
      <w:rPr>
        <w:rFonts w:ascii="Courier New" w:hAnsi="Courier New" w:cs="Courier New" w:hint="default"/>
      </w:rPr>
    </w:lvl>
    <w:lvl w:ilvl="8" w:tplc="22EE639C" w:tentative="1">
      <w:start w:val="1"/>
      <w:numFmt w:val="bullet"/>
      <w:lvlText w:val=""/>
      <w:lvlJc w:val="left"/>
      <w:pPr>
        <w:ind w:left="6480" w:hanging="360"/>
      </w:pPr>
      <w:rPr>
        <w:rFonts w:ascii="Wingdings" w:hAnsi="Wingdings" w:hint="default"/>
      </w:rPr>
    </w:lvl>
  </w:abstractNum>
  <w:abstractNum w:abstractNumId="1" w15:restartNumberingAfterBreak="0">
    <w:nsid w:val="2BAE7531"/>
    <w:multiLevelType w:val="hybridMultilevel"/>
    <w:tmpl w:val="4336BC20"/>
    <w:lvl w:ilvl="0" w:tplc="68285250">
      <w:start w:val="1"/>
      <w:numFmt w:val="bullet"/>
      <w:lvlText w:val=""/>
      <w:lvlJc w:val="left"/>
      <w:pPr>
        <w:tabs>
          <w:tab w:val="num" w:pos="720"/>
        </w:tabs>
        <w:ind w:left="720" w:hanging="360"/>
      </w:pPr>
      <w:rPr>
        <w:rFonts w:ascii="Symbol" w:hAnsi="Symbol" w:hint="default"/>
      </w:rPr>
    </w:lvl>
    <w:lvl w:ilvl="1" w:tplc="5016B8F8" w:tentative="1">
      <w:start w:val="1"/>
      <w:numFmt w:val="bullet"/>
      <w:lvlText w:val="o"/>
      <w:lvlJc w:val="left"/>
      <w:pPr>
        <w:ind w:left="1440" w:hanging="360"/>
      </w:pPr>
      <w:rPr>
        <w:rFonts w:ascii="Courier New" w:hAnsi="Courier New" w:cs="Courier New" w:hint="default"/>
      </w:rPr>
    </w:lvl>
    <w:lvl w:ilvl="2" w:tplc="A3848CF6" w:tentative="1">
      <w:start w:val="1"/>
      <w:numFmt w:val="bullet"/>
      <w:lvlText w:val=""/>
      <w:lvlJc w:val="left"/>
      <w:pPr>
        <w:ind w:left="2160" w:hanging="360"/>
      </w:pPr>
      <w:rPr>
        <w:rFonts w:ascii="Wingdings" w:hAnsi="Wingdings" w:hint="default"/>
      </w:rPr>
    </w:lvl>
    <w:lvl w:ilvl="3" w:tplc="29FAC394" w:tentative="1">
      <w:start w:val="1"/>
      <w:numFmt w:val="bullet"/>
      <w:lvlText w:val=""/>
      <w:lvlJc w:val="left"/>
      <w:pPr>
        <w:ind w:left="2880" w:hanging="360"/>
      </w:pPr>
      <w:rPr>
        <w:rFonts w:ascii="Symbol" w:hAnsi="Symbol" w:hint="default"/>
      </w:rPr>
    </w:lvl>
    <w:lvl w:ilvl="4" w:tplc="A5A4F6DE" w:tentative="1">
      <w:start w:val="1"/>
      <w:numFmt w:val="bullet"/>
      <w:lvlText w:val="o"/>
      <w:lvlJc w:val="left"/>
      <w:pPr>
        <w:ind w:left="3600" w:hanging="360"/>
      </w:pPr>
      <w:rPr>
        <w:rFonts w:ascii="Courier New" w:hAnsi="Courier New" w:cs="Courier New" w:hint="default"/>
      </w:rPr>
    </w:lvl>
    <w:lvl w:ilvl="5" w:tplc="5B9C0D6E" w:tentative="1">
      <w:start w:val="1"/>
      <w:numFmt w:val="bullet"/>
      <w:lvlText w:val=""/>
      <w:lvlJc w:val="left"/>
      <w:pPr>
        <w:ind w:left="4320" w:hanging="360"/>
      </w:pPr>
      <w:rPr>
        <w:rFonts w:ascii="Wingdings" w:hAnsi="Wingdings" w:hint="default"/>
      </w:rPr>
    </w:lvl>
    <w:lvl w:ilvl="6" w:tplc="7D0CC7B2" w:tentative="1">
      <w:start w:val="1"/>
      <w:numFmt w:val="bullet"/>
      <w:lvlText w:val=""/>
      <w:lvlJc w:val="left"/>
      <w:pPr>
        <w:ind w:left="5040" w:hanging="360"/>
      </w:pPr>
      <w:rPr>
        <w:rFonts w:ascii="Symbol" w:hAnsi="Symbol" w:hint="default"/>
      </w:rPr>
    </w:lvl>
    <w:lvl w:ilvl="7" w:tplc="9AD45184" w:tentative="1">
      <w:start w:val="1"/>
      <w:numFmt w:val="bullet"/>
      <w:lvlText w:val="o"/>
      <w:lvlJc w:val="left"/>
      <w:pPr>
        <w:ind w:left="5760" w:hanging="360"/>
      </w:pPr>
      <w:rPr>
        <w:rFonts w:ascii="Courier New" w:hAnsi="Courier New" w:cs="Courier New" w:hint="default"/>
      </w:rPr>
    </w:lvl>
    <w:lvl w:ilvl="8" w:tplc="84BA6B10" w:tentative="1">
      <w:start w:val="1"/>
      <w:numFmt w:val="bullet"/>
      <w:lvlText w:val=""/>
      <w:lvlJc w:val="left"/>
      <w:pPr>
        <w:ind w:left="6480" w:hanging="360"/>
      </w:pPr>
      <w:rPr>
        <w:rFonts w:ascii="Wingdings" w:hAnsi="Wingdings" w:hint="default"/>
      </w:rPr>
    </w:lvl>
  </w:abstractNum>
  <w:abstractNum w:abstractNumId="2" w15:restartNumberingAfterBreak="0">
    <w:nsid w:val="31670BE2"/>
    <w:multiLevelType w:val="hybridMultilevel"/>
    <w:tmpl w:val="2924C774"/>
    <w:lvl w:ilvl="0" w:tplc="480EBA96">
      <w:start w:val="1"/>
      <w:numFmt w:val="bullet"/>
      <w:lvlText w:val=""/>
      <w:lvlJc w:val="left"/>
      <w:pPr>
        <w:tabs>
          <w:tab w:val="num" w:pos="720"/>
        </w:tabs>
        <w:ind w:left="720" w:hanging="360"/>
      </w:pPr>
      <w:rPr>
        <w:rFonts w:ascii="Symbol" w:hAnsi="Symbol" w:hint="default"/>
      </w:rPr>
    </w:lvl>
    <w:lvl w:ilvl="1" w:tplc="919457C8" w:tentative="1">
      <w:start w:val="1"/>
      <w:numFmt w:val="bullet"/>
      <w:lvlText w:val="o"/>
      <w:lvlJc w:val="left"/>
      <w:pPr>
        <w:ind w:left="1440" w:hanging="360"/>
      </w:pPr>
      <w:rPr>
        <w:rFonts w:ascii="Courier New" w:hAnsi="Courier New" w:cs="Courier New" w:hint="default"/>
      </w:rPr>
    </w:lvl>
    <w:lvl w:ilvl="2" w:tplc="1C9ABA4C" w:tentative="1">
      <w:start w:val="1"/>
      <w:numFmt w:val="bullet"/>
      <w:lvlText w:val=""/>
      <w:lvlJc w:val="left"/>
      <w:pPr>
        <w:ind w:left="2160" w:hanging="360"/>
      </w:pPr>
      <w:rPr>
        <w:rFonts w:ascii="Wingdings" w:hAnsi="Wingdings" w:hint="default"/>
      </w:rPr>
    </w:lvl>
    <w:lvl w:ilvl="3" w:tplc="8B76AA10" w:tentative="1">
      <w:start w:val="1"/>
      <w:numFmt w:val="bullet"/>
      <w:lvlText w:val=""/>
      <w:lvlJc w:val="left"/>
      <w:pPr>
        <w:ind w:left="2880" w:hanging="360"/>
      </w:pPr>
      <w:rPr>
        <w:rFonts w:ascii="Symbol" w:hAnsi="Symbol" w:hint="default"/>
      </w:rPr>
    </w:lvl>
    <w:lvl w:ilvl="4" w:tplc="D99AA17E" w:tentative="1">
      <w:start w:val="1"/>
      <w:numFmt w:val="bullet"/>
      <w:lvlText w:val="o"/>
      <w:lvlJc w:val="left"/>
      <w:pPr>
        <w:ind w:left="3600" w:hanging="360"/>
      </w:pPr>
      <w:rPr>
        <w:rFonts w:ascii="Courier New" w:hAnsi="Courier New" w:cs="Courier New" w:hint="default"/>
      </w:rPr>
    </w:lvl>
    <w:lvl w:ilvl="5" w:tplc="D5BC336C" w:tentative="1">
      <w:start w:val="1"/>
      <w:numFmt w:val="bullet"/>
      <w:lvlText w:val=""/>
      <w:lvlJc w:val="left"/>
      <w:pPr>
        <w:ind w:left="4320" w:hanging="360"/>
      </w:pPr>
      <w:rPr>
        <w:rFonts w:ascii="Wingdings" w:hAnsi="Wingdings" w:hint="default"/>
      </w:rPr>
    </w:lvl>
    <w:lvl w:ilvl="6" w:tplc="1CA43738" w:tentative="1">
      <w:start w:val="1"/>
      <w:numFmt w:val="bullet"/>
      <w:lvlText w:val=""/>
      <w:lvlJc w:val="left"/>
      <w:pPr>
        <w:ind w:left="5040" w:hanging="360"/>
      </w:pPr>
      <w:rPr>
        <w:rFonts w:ascii="Symbol" w:hAnsi="Symbol" w:hint="default"/>
      </w:rPr>
    </w:lvl>
    <w:lvl w:ilvl="7" w:tplc="D38AD55C" w:tentative="1">
      <w:start w:val="1"/>
      <w:numFmt w:val="bullet"/>
      <w:lvlText w:val="o"/>
      <w:lvlJc w:val="left"/>
      <w:pPr>
        <w:ind w:left="5760" w:hanging="360"/>
      </w:pPr>
      <w:rPr>
        <w:rFonts w:ascii="Courier New" w:hAnsi="Courier New" w:cs="Courier New" w:hint="default"/>
      </w:rPr>
    </w:lvl>
    <w:lvl w:ilvl="8" w:tplc="AC0CF50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B7"/>
    <w:rsid w:val="00000A70"/>
    <w:rsid w:val="000032B8"/>
    <w:rsid w:val="00003B06"/>
    <w:rsid w:val="000046B4"/>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CB7"/>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D75"/>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250"/>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A1C"/>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157"/>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DBD"/>
    <w:rsid w:val="003D726D"/>
    <w:rsid w:val="003E0875"/>
    <w:rsid w:val="003E0BB8"/>
    <w:rsid w:val="003E6CB0"/>
    <w:rsid w:val="003F1F5E"/>
    <w:rsid w:val="003F286A"/>
    <w:rsid w:val="003F77F8"/>
    <w:rsid w:val="00400ACD"/>
    <w:rsid w:val="0040138C"/>
    <w:rsid w:val="00403B15"/>
    <w:rsid w:val="00403E8A"/>
    <w:rsid w:val="00404755"/>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1B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CDE"/>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BDE"/>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2A"/>
    <w:rsid w:val="005C7CCB"/>
    <w:rsid w:val="005D1444"/>
    <w:rsid w:val="005D4DAE"/>
    <w:rsid w:val="005D767D"/>
    <w:rsid w:val="005D7A30"/>
    <w:rsid w:val="005D7D3B"/>
    <w:rsid w:val="005E1999"/>
    <w:rsid w:val="005E232C"/>
    <w:rsid w:val="005E2B83"/>
    <w:rsid w:val="005E3560"/>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238"/>
    <w:rsid w:val="006249CB"/>
    <w:rsid w:val="006272DD"/>
    <w:rsid w:val="00630963"/>
    <w:rsid w:val="00631897"/>
    <w:rsid w:val="00632928"/>
    <w:rsid w:val="006330DA"/>
    <w:rsid w:val="00633262"/>
    <w:rsid w:val="00633460"/>
    <w:rsid w:val="006402E7"/>
    <w:rsid w:val="00640CB6"/>
    <w:rsid w:val="00641B42"/>
    <w:rsid w:val="0064285A"/>
    <w:rsid w:val="0064322F"/>
    <w:rsid w:val="00645750"/>
    <w:rsid w:val="00650692"/>
    <w:rsid w:val="006508D3"/>
    <w:rsid w:val="00650AFA"/>
    <w:rsid w:val="006565E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892"/>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67B"/>
    <w:rsid w:val="00755C7B"/>
    <w:rsid w:val="00764786"/>
    <w:rsid w:val="00766E12"/>
    <w:rsid w:val="0077098E"/>
    <w:rsid w:val="00771287"/>
    <w:rsid w:val="0077149E"/>
    <w:rsid w:val="00776A16"/>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6A1F"/>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D47"/>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ADB"/>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42E"/>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7B9"/>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8F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AE1"/>
    <w:rsid w:val="00A644B8"/>
    <w:rsid w:val="00A7089E"/>
    <w:rsid w:val="00A70E35"/>
    <w:rsid w:val="00A720DC"/>
    <w:rsid w:val="00A803CF"/>
    <w:rsid w:val="00A8133F"/>
    <w:rsid w:val="00A82CB4"/>
    <w:rsid w:val="00A837A8"/>
    <w:rsid w:val="00A83C36"/>
    <w:rsid w:val="00A932BB"/>
    <w:rsid w:val="00A93579"/>
    <w:rsid w:val="00A93875"/>
    <w:rsid w:val="00A93934"/>
    <w:rsid w:val="00A95D51"/>
    <w:rsid w:val="00AA18AE"/>
    <w:rsid w:val="00AA228B"/>
    <w:rsid w:val="00AA597A"/>
    <w:rsid w:val="00AA66AD"/>
    <w:rsid w:val="00AA67A3"/>
    <w:rsid w:val="00AA7E52"/>
    <w:rsid w:val="00AB1655"/>
    <w:rsid w:val="00AB1873"/>
    <w:rsid w:val="00AB2C05"/>
    <w:rsid w:val="00AB32FC"/>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A50"/>
    <w:rsid w:val="00AE4F1C"/>
    <w:rsid w:val="00AF1433"/>
    <w:rsid w:val="00AF40FF"/>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3CB0"/>
    <w:rsid w:val="00B6466E"/>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EEE"/>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5E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94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99D"/>
    <w:rsid w:val="00CC7131"/>
    <w:rsid w:val="00CC7B9E"/>
    <w:rsid w:val="00CD06CA"/>
    <w:rsid w:val="00CD076A"/>
    <w:rsid w:val="00CD180C"/>
    <w:rsid w:val="00CD37DA"/>
    <w:rsid w:val="00CD4F2C"/>
    <w:rsid w:val="00CD731C"/>
    <w:rsid w:val="00CE008D"/>
    <w:rsid w:val="00CE08E8"/>
    <w:rsid w:val="00CE2133"/>
    <w:rsid w:val="00CE245D"/>
    <w:rsid w:val="00CE300F"/>
    <w:rsid w:val="00CE3582"/>
    <w:rsid w:val="00CE3795"/>
    <w:rsid w:val="00CE3E20"/>
    <w:rsid w:val="00CE7A48"/>
    <w:rsid w:val="00CF4827"/>
    <w:rsid w:val="00CF4C69"/>
    <w:rsid w:val="00CF581C"/>
    <w:rsid w:val="00CF71E0"/>
    <w:rsid w:val="00D001B1"/>
    <w:rsid w:val="00D03176"/>
    <w:rsid w:val="00D060A8"/>
    <w:rsid w:val="00D06605"/>
    <w:rsid w:val="00D0720F"/>
    <w:rsid w:val="00D074E2"/>
    <w:rsid w:val="00D11B0B"/>
    <w:rsid w:val="00D11D05"/>
    <w:rsid w:val="00D12A3E"/>
    <w:rsid w:val="00D22160"/>
    <w:rsid w:val="00D22172"/>
    <w:rsid w:val="00D2301B"/>
    <w:rsid w:val="00D239EE"/>
    <w:rsid w:val="00D30534"/>
    <w:rsid w:val="00D35728"/>
    <w:rsid w:val="00D359A7"/>
    <w:rsid w:val="00D37BCF"/>
    <w:rsid w:val="00D40F93"/>
    <w:rsid w:val="00D42277"/>
    <w:rsid w:val="00D42382"/>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019"/>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6DF5"/>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321"/>
    <w:rsid w:val="00F05397"/>
    <w:rsid w:val="00F0638C"/>
    <w:rsid w:val="00F11E04"/>
    <w:rsid w:val="00F12B24"/>
    <w:rsid w:val="00F12BC7"/>
    <w:rsid w:val="00F15223"/>
    <w:rsid w:val="00F164B4"/>
    <w:rsid w:val="00F176E4"/>
    <w:rsid w:val="00F20E5F"/>
    <w:rsid w:val="00F22D87"/>
    <w:rsid w:val="00F25C26"/>
    <w:rsid w:val="00F25CC2"/>
    <w:rsid w:val="00F27573"/>
    <w:rsid w:val="00F307B6"/>
    <w:rsid w:val="00F30EB8"/>
    <w:rsid w:val="00F31876"/>
    <w:rsid w:val="00F31A42"/>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259E43-101C-4968-900E-6B2AAB65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6466E"/>
    <w:rPr>
      <w:sz w:val="16"/>
      <w:szCs w:val="16"/>
    </w:rPr>
  </w:style>
  <w:style w:type="paragraph" w:styleId="CommentText">
    <w:name w:val="annotation text"/>
    <w:basedOn w:val="Normal"/>
    <w:link w:val="CommentTextChar"/>
    <w:semiHidden/>
    <w:unhideWhenUsed/>
    <w:rsid w:val="00B6466E"/>
    <w:rPr>
      <w:sz w:val="20"/>
      <w:szCs w:val="20"/>
    </w:rPr>
  </w:style>
  <w:style w:type="character" w:customStyle="1" w:styleId="CommentTextChar">
    <w:name w:val="Comment Text Char"/>
    <w:basedOn w:val="DefaultParagraphFont"/>
    <w:link w:val="CommentText"/>
    <w:semiHidden/>
    <w:rsid w:val="00B6466E"/>
  </w:style>
  <w:style w:type="paragraph" w:styleId="CommentSubject">
    <w:name w:val="annotation subject"/>
    <w:basedOn w:val="CommentText"/>
    <w:next w:val="CommentText"/>
    <w:link w:val="CommentSubjectChar"/>
    <w:semiHidden/>
    <w:unhideWhenUsed/>
    <w:rsid w:val="00B6466E"/>
    <w:rPr>
      <w:b/>
      <w:bCs/>
    </w:rPr>
  </w:style>
  <w:style w:type="character" w:customStyle="1" w:styleId="CommentSubjectChar">
    <w:name w:val="Comment Subject Char"/>
    <w:basedOn w:val="CommentTextChar"/>
    <w:link w:val="CommentSubject"/>
    <w:semiHidden/>
    <w:rsid w:val="00B6466E"/>
    <w:rPr>
      <w:b/>
      <w:bCs/>
    </w:rPr>
  </w:style>
  <w:style w:type="paragraph" w:styleId="Revision">
    <w:name w:val="Revision"/>
    <w:hidden/>
    <w:uiPriority w:val="99"/>
    <w:semiHidden/>
    <w:rsid w:val="00E66DF5"/>
    <w:rPr>
      <w:sz w:val="24"/>
      <w:szCs w:val="24"/>
    </w:rPr>
  </w:style>
  <w:style w:type="paragraph" w:styleId="ListParagraph">
    <w:name w:val="List Paragraph"/>
    <w:basedOn w:val="Normal"/>
    <w:uiPriority w:val="34"/>
    <w:qFormat/>
    <w:rsid w:val="00533CD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3608</Characters>
  <Application>Microsoft Office Word</Application>
  <DocSecurity>4</DocSecurity>
  <Lines>82</Lines>
  <Paragraphs>20</Paragraphs>
  <ScaleCrop>false</ScaleCrop>
  <HeadingPairs>
    <vt:vector size="2" baseType="variant">
      <vt:variant>
        <vt:lpstr>Title</vt:lpstr>
      </vt:variant>
      <vt:variant>
        <vt:i4>1</vt:i4>
      </vt:variant>
    </vt:vector>
  </HeadingPairs>
  <TitlesOfParts>
    <vt:vector size="1" baseType="lpstr">
      <vt:lpstr>BA - HB01788 (Committee Report (Substituted))</vt:lpstr>
    </vt:vector>
  </TitlesOfParts>
  <Company>State of Texas</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23768</dc:subject>
  <dc:creator>State of Texas</dc:creator>
  <dc:description>HB 1788 by Buckley-(H)Public Health (Substitute Document Number: 88R 19792)</dc:description>
  <cp:lastModifiedBy>Matthew Lee</cp:lastModifiedBy>
  <cp:revision>2</cp:revision>
  <cp:lastPrinted>2003-11-26T17:21:00Z</cp:lastPrinted>
  <dcterms:created xsi:type="dcterms:W3CDTF">2023-04-19T17:55:00Z</dcterms:created>
  <dcterms:modified xsi:type="dcterms:W3CDTF">2023-04-19T17:55:00Z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23.106.158</vt:lpwstr>
  </property>
</Properties>
</file>