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E12E9" w14:paraId="1CE141BA" w14:textId="77777777" w:rsidTr="00345119">
        <w:tc>
          <w:tcPr>
            <w:tcW w:w="9576" w:type="dxa"/>
            <w:noWrap/>
          </w:tcPr>
          <w:p w14:paraId="44EEEC04" w14:textId="77777777" w:rsidR="008423E4" w:rsidRPr="0022177D" w:rsidRDefault="00A25749" w:rsidP="00A210B7">
            <w:pPr>
              <w:pStyle w:val="Heading1"/>
            </w:pPr>
            <w:r w:rsidRPr="00631897">
              <w:t>BILL ANALYSIS</w:t>
            </w:r>
          </w:p>
        </w:tc>
      </w:tr>
    </w:tbl>
    <w:p w14:paraId="08A3421C" w14:textId="77777777" w:rsidR="008423E4" w:rsidRPr="0022177D" w:rsidRDefault="008423E4" w:rsidP="00A210B7">
      <w:pPr>
        <w:jc w:val="center"/>
      </w:pPr>
    </w:p>
    <w:p w14:paraId="7A2BCEDC" w14:textId="77777777" w:rsidR="008423E4" w:rsidRPr="00B31F0E" w:rsidRDefault="008423E4" w:rsidP="00A210B7"/>
    <w:p w14:paraId="7DABD1F1" w14:textId="77777777" w:rsidR="008423E4" w:rsidRPr="00742794" w:rsidRDefault="008423E4" w:rsidP="00A210B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E12E9" w14:paraId="3AD3DC3D" w14:textId="77777777" w:rsidTr="00345119">
        <w:tc>
          <w:tcPr>
            <w:tcW w:w="9576" w:type="dxa"/>
          </w:tcPr>
          <w:p w14:paraId="43A20CDA" w14:textId="21E1F019" w:rsidR="008423E4" w:rsidRPr="00861995" w:rsidRDefault="00A25749" w:rsidP="00A210B7">
            <w:pPr>
              <w:jc w:val="right"/>
            </w:pPr>
            <w:r>
              <w:t>H.B. 1817</w:t>
            </w:r>
          </w:p>
        </w:tc>
      </w:tr>
      <w:tr w:rsidR="004E12E9" w14:paraId="747068EF" w14:textId="77777777" w:rsidTr="00345119">
        <w:tc>
          <w:tcPr>
            <w:tcW w:w="9576" w:type="dxa"/>
          </w:tcPr>
          <w:p w14:paraId="6CB4F037" w14:textId="2A9FD74F" w:rsidR="008423E4" w:rsidRPr="00861995" w:rsidRDefault="00A25749" w:rsidP="00A210B7">
            <w:pPr>
              <w:jc w:val="right"/>
            </w:pPr>
            <w:r>
              <w:t xml:space="preserve">By: </w:t>
            </w:r>
            <w:r w:rsidR="003B15FE">
              <w:t>Capriglione</w:t>
            </w:r>
          </w:p>
        </w:tc>
      </w:tr>
      <w:tr w:rsidR="004E12E9" w14:paraId="3C46AE60" w14:textId="77777777" w:rsidTr="00345119">
        <w:tc>
          <w:tcPr>
            <w:tcW w:w="9576" w:type="dxa"/>
          </w:tcPr>
          <w:p w14:paraId="17769BE0" w14:textId="30D49A8E" w:rsidR="008423E4" w:rsidRPr="00861995" w:rsidRDefault="00A25749" w:rsidP="00A210B7">
            <w:pPr>
              <w:jc w:val="right"/>
            </w:pPr>
            <w:r>
              <w:t>State Affairs</w:t>
            </w:r>
          </w:p>
        </w:tc>
      </w:tr>
      <w:tr w:rsidR="004E12E9" w14:paraId="536B0255" w14:textId="77777777" w:rsidTr="00345119">
        <w:tc>
          <w:tcPr>
            <w:tcW w:w="9576" w:type="dxa"/>
          </w:tcPr>
          <w:p w14:paraId="7E9C7615" w14:textId="48B3E639" w:rsidR="008423E4" w:rsidRDefault="00A25749" w:rsidP="00A210B7">
            <w:pPr>
              <w:jc w:val="right"/>
            </w:pPr>
            <w:r>
              <w:t>Committee Report (Unamended)</w:t>
            </w:r>
          </w:p>
        </w:tc>
      </w:tr>
    </w:tbl>
    <w:p w14:paraId="4B4556B6" w14:textId="77777777" w:rsidR="008423E4" w:rsidRDefault="008423E4" w:rsidP="00A210B7">
      <w:pPr>
        <w:tabs>
          <w:tab w:val="right" w:pos="9360"/>
        </w:tabs>
      </w:pPr>
    </w:p>
    <w:p w14:paraId="3E1C6A2C" w14:textId="77777777" w:rsidR="008423E4" w:rsidRDefault="008423E4" w:rsidP="00A210B7"/>
    <w:p w14:paraId="6321DC98" w14:textId="77777777" w:rsidR="008423E4" w:rsidRDefault="008423E4" w:rsidP="00A210B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E12E9" w14:paraId="336E9E59" w14:textId="77777777" w:rsidTr="00345119">
        <w:tc>
          <w:tcPr>
            <w:tcW w:w="9576" w:type="dxa"/>
          </w:tcPr>
          <w:p w14:paraId="25189F6B" w14:textId="77777777" w:rsidR="008423E4" w:rsidRPr="00A8133F" w:rsidRDefault="00A25749" w:rsidP="00A210B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CA88A70" w14:textId="77777777" w:rsidR="008423E4" w:rsidRDefault="008423E4" w:rsidP="00A210B7"/>
          <w:p w14:paraId="28D3B7DE" w14:textId="5C114C82" w:rsidR="008423E4" w:rsidRDefault="00A25749" w:rsidP="00A210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In 2015, the</w:t>
            </w:r>
            <w:r w:rsidR="0067294F" w:rsidRPr="0067294F">
              <w:t xml:space="preserve"> </w:t>
            </w:r>
            <w:r w:rsidR="00B0214E">
              <w:t>Texas L</w:t>
            </w:r>
            <w:r>
              <w:t>egislature</w:t>
            </w:r>
            <w:r w:rsidR="0067294F" w:rsidRPr="0067294F">
              <w:t xml:space="preserve"> </w:t>
            </w:r>
            <w:r w:rsidR="002C0206">
              <w:t xml:space="preserve">enacted legislation that </w:t>
            </w:r>
            <w:r w:rsidR="0067294F" w:rsidRPr="0067294F">
              <w:t>required governmental entities to file a disclosure of interested parties, otherwise known as a Form</w:t>
            </w:r>
            <w:r w:rsidR="00BD61FA">
              <w:t> </w:t>
            </w:r>
            <w:r w:rsidR="0067294F" w:rsidRPr="0067294F">
              <w:t>1295, with the Texas Ethics Commission for certain contracts. In 2022, a development company, Legacy Hutto LLC, sued the City of Hutto for breach of contract. The judge found that the city had not verified whether a Form</w:t>
            </w:r>
            <w:r w:rsidR="00BD61FA">
              <w:t> </w:t>
            </w:r>
            <w:r w:rsidR="0067294F" w:rsidRPr="0067294F">
              <w:t>1295 was submitted and on file, therefore not complying with state government transparency laws</w:t>
            </w:r>
            <w:r>
              <w:t>.</w:t>
            </w:r>
            <w:r w:rsidR="0067294F" w:rsidRPr="0067294F">
              <w:t xml:space="preserve"> </w:t>
            </w:r>
            <w:r>
              <w:t>As such, the judge</w:t>
            </w:r>
            <w:r w:rsidR="0067294F" w:rsidRPr="0067294F">
              <w:t xml:space="preserve"> found</w:t>
            </w:r>
            <w:r w:rsidR="00B0214E">
              <w:t xml:space="preserve"> that</w:t>
            </w:r>
            <w:r w:rsidR="0067294F" w:rsidRPr="0067294F">
              <w:t xml:space="preserve"> the contract </w:t>
            </w:r>
            <w:r>
              <w:t>had not been properly executed</w:t>
            </w:r>
            <w:r w:rsidR="0067294F" w:rsidRPr="0067294F">
              <w:t>.</w:t>
            </w:r>
            <w:r w:rsidR="0067294F">
              <w:t xml:space="preserve"> </w:t>
            </w:r>
            <w:r w:rsidR="0067294F" w:rsidRPr="0067294F">
              <w:t xml:space="preserve">With this ruling, the potential now exists </w:t>
            </w:r>
            <w:r w:rsidR="00B0214E">
              <w:t>for</w:t>
            </w:r>
            <w:r w:rsidR="00B0214E" w:rsidRPr="0067294F">
              <w:t xml:space="preserve"> </w:t>
            </w:r>
            <w:r w:rsidR="0067294F" w:rsidRPr="0067294F">
              <w:t>any government contract without a Form</w:t>
            </w:r>
            <w:r w:rsidR="00BD61FA">
              <w:t> </w:t>
            </w:r>
            <w:r w:rsidR="0067294F" w:rsidRPr="0067294F">
              <w:t xml:space="preserve">1295 on file </w:t>
            </w:r>
            <w:r w:rsidR="00B0214E">
              <w:t>to</w:t>
            </w:r>
            <w:r w:rsidR="00B0214E" w:rsidRPr="0067294F">
              <w:t xml:space="preserve"> </w:t>
            </w:r>
            <w:r w:rsidR="0067294F" w:rsidRPr="0067294F">
              <w:t>be found void.</w:t>
            </w:r>
            <w:r w:rsidR="0067294F">
              <w:t xml:space="preserve"> </w:t>
            </w:r>
            <w:r w:rsidR="0067294F" w:rsidRPr="0067294F">
              <w:t>H</w:t>
            </w:r>
            <w:r>
              <w:t>.</w:t>
            </w:r>
            <w:r w:rsidR="0067294F" w:rsidRPr="0067294F">
              <w:t>B</w:t>
            </w:r>
            <w:r>
              <w:t>.</w:t>
            </w:r>
            <w:r w:rsidR="00BD61FA">
              <w:t> </w:t>
            </w:r>
            <w:r w:rsidR="0067294F" w:rsidRPr="0067294F">
              <w:t xml:space="preserve">1817 </w:t>
            </w:r>
            <w:r>
              <w:t xml:space="preserve">seeks to prevent this from occurring by </w:t>
            </w:r>
            <w:r w:rsidR="0067294F" w:rsidRPr="0067294F">
              <w:t>updat</w:t>
            </w:r>
            <w:r>
              <w:t>ing</w:t>
            </w:r>
            <w:r w:rsidR="0067294F" w:rsidRPr="0067294F">
              <w:t xml:space="preserve"> the disclosure of interested parties statute to allow for a cure period </w:t>
            </w:r>
            <w:r w:rsidR="006E5427">
              <w:t xml:space="preserve">of 10 business days </w:t>
            </w:r>
            <w:r w:rsidR="0067294F" w:rsidRPr="0067294F">
              <w:t>if a Form</w:t>
            </w:r>
            <w:r w:rsidR="00BD61FA">
              <w:t> </w:t>
            </w:r>
            <w:r w:rsidR="0067294F" w:rsidRPr="0067294F">
              <w:t>1295 is found to not be on file.</w:t>
            </w:r>
          </w:p>
          <w:p w14:paraId="5D417692" w14:textId="77777777" w:rsidR="008423E4" w:rsidRPr="00E26B13" w:rsidRDefault="008423E4" w:rsidP="00A210B7">
            <w:pPr>
              <w:rPr>
                <w:b/>
              </w:rPr>
            </w:pPr>
          </w:p>
        </w:tc>
      </w:tr>
      <w:tr w:rsidR="004E12E9" w14:paraId="621BCD79" w14:textId="77777777" w:rsidTr="00345119">
        <w:tc>
          <w:tcPr>
            <w:tcW w:w="9576" w:type="dxa"/>
          </w:tcPr>
          <w:p w14:paraId="35BD97F8" w14:textId="77777777" w:rsidR="0017725B" w:rsidRDefault="00A25749" w:rsidP="00A210B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CRIMINAL JUSTICE </w:t>
            </w:r>
            <w:r>
              <w:rPr>
                <w:b/>
                <w:u w:val="single"/>
              </w:rPr>
              <w:t>IMPACT</w:t>
            </w:r>
          </w:p>
          <w:p w14:paraId="457BE48D" w14:textId="77777777" w:rsidR="0017725B" w:rsidRDefault="0017725B" w:rsidP="00A210B7">
            <w:pPr>
              <w:rPr>
                <w:b/>
                <w:u w:val="single"/>
              </w:rPr>
            </w:pPr>
          </w:p>
          <w:p w14:paraId="425BCDC7" w14:textId="56F21459" w:rsidR="002432A1" w:rsidRPr="002432A1" w:rsidRDefault="00A25749" w:rsidP="00A210B7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</w:t>
            </w:r>
            <w:r>
              <w:t xml:space="preserve"> mandatory supervision.</w:t>
            </w:r>
          </w:p>
          <w:p w14:paraId="259F0F54" w14:textId="77777777" w:rsidR="0017725B" w:rsidRPr="0017725B" w:rsidRDefault="0017725B" w:rsidP="00A210B7">
            <w:pPr>
              <w:rPr>
                <w:b/>
                <w:u w:val="single"/>
              </w:rPr>
            </w:pPr>
          </w:p>
        </w:tc>
      </w:tr>
      <w:tr w:rsidR="004E12E9" w14:paraId="3A59F3A5" w14:textId="77777777" w:rsidTr="00345119">
        <w:tc>
          <w:tcPr>
            <w:tcW w:w="9576" w:type="dxa"/>
          </w:tcPr>
          <w:p w14:paraId="5FA6917E" w14:textId="77777777" w:rsidR="008423E4" w:rsidRPr="00A8133F" w:rsidRDefault="00A25749" w:rsidP="00A210B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4287641" w14:textId="77777777" w:rsidR="008423E4" w:rsidRDefault="008423E4" w:rsidP="00A210B7"/>
          <w:p w14:paraId="7ABBD79F" w14:textId="134BE2D4" w:rsidR="002432A1" w:rsidRDefault="00A25749" w:rsidP="00A210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2FCE140" w14:textId="77777777" w:rsidR="008423E4" w:rsidRPr="00E21FDC" w:rsidRDefault="008423E4" w:rsidP="00A210B7">
            <w:pPr>
              <w:rPr>
                <w:b/>
              </w:rPr>
            </w:pPr>
          </w:p>
        </w:tc>
      </w:tr>
      <w:tr w:rsidR="004E12E9" w14:paraId="2443D7AD" w14:textId="77777777" w:rsidTr="00345119">
        <w:tc>
          <w:tcPr>
            <w:tcW w:w="9576" w:type="dxa"/>
          </w:tcPr>
          <w:p w14:paraId="27E4DEE8" w14:textId="77777777" w:rsidR="008423E4" w:rsidRPr="00A8133F" w:rsidRDefault="00A25749" w:rsidP="00A210B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2482C39" w14:textId="77777777" w:rsidR="008423E4" w:rsidRDefault="008423E4" w:rsidP="00A210B7"/>
          <w:p w14:paraId="2934A50E" w14:textId="6501938E" w:rsidR="00C86C78" w:rsidRPr="00C86C78" w:rsidRDefault="00A25749" w:rsidP="00A210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1817 amends the Government Code to </w:t>
            </w:r>
            <w:r w:rsidR="005D5D8D">
              <w:t>limit the circumstances under which</w:t>
            </w:r>
            <w:r w:rsidR="003B30EB">
              <w:t xml:space="preserve"> </w:t>
            </w:r>
            <w:r w:rsidR="006A3981">
              <w:t>a</w:t>
            </w:r>
            <w:r w:rsidR="0061362B">
              <w:t>n applicable</w:t>
            </w:r>
            <w:r>
              <w:t xml:space="preserve"> contract </w:t>
            </w:r>
            <w:r w:rsidRPr="00E16B86">
              <w:t>entered into by a governmental entity or state agency</w:t>
            </w:r>
            <w:r>
              <w:t xml:space="preserve"> </w:t>
            </w:r>
            <w:r w:rsidR="008218E2">
              <w:t>is</w:t>
            </w:r>
            <w:r w:rsidR="005D5D8D">
              <w:t xml:space="preserve"> considered</w:t>
            </w:r>
            <w:r>
              <w:t xml:space="preserve"> </w:t>
            </w:r>
            <w:r w:rsidR="003F1BB2" w:rsidRPr="003F1BB2">
              <w:rPr>
                <w:bCs/>
              </w:rPr>
              <w:t xml:space="preserve">voidable for </w:t>
            </w:r>
            <w:r w:rsidR="005D5D8D">
              <w:rPr>
                <w:bCs/>
              </w:rPr>
              <w:t>the contracted business entity</w:t>
            </w:r>
            <w:r w:rsidR="001C7A4E">
              <w:rPr>
                <w:bCs/>
              </w:rPr>
              <w:t>'s</w:t>
            </w:r>
            <w:r w:rsidR="005D5D8D">
              <w:rPr>
                <w:bCs/>
              </w:rPr>
              <w:t xml:space="preserve"> </w:t>
            </w:r>
            <w:r w:rsidR="001C7A4E" w:rsidRPr="003F1BB2">
              <w:rPr>
                <w:bCs/>
              </w:rPr>
              <w:t xml:space="preserve">failure </w:t>
            </w:r>
            <w:r w:rsidR="003F1BB2" w:rsidRPr="003F1BB2">
              <w:rPr>
                <w:bCs/>
              </w:rPr>
              <w:t xml:space="preserve">to provide the </w:t>
            </w:r>
            <w:r w:rsidR="005D5D8D">
              <w:rPr>
                <w:bCs/>
              </w:rPr>
              <w:t xml:space="preserve">requisite </w:t>
            </w:r>
            <w:r w:rsidR="003F1BB2" w:rsidRPr="003F1BB2">
              <w:rPr>
                <w:bCs/>
              </w:rPr>
              <w:t>disclosure of interested parties</w:t>
            </w:r>
            <w:r>
              <w:rPr>
                <w:bCs/>
              </w:rPr>
              <w:t xml:space="preserve"> </w:t>
            </w:r>
            <w:r w:rsidR="005D5D8D">
              <w:rPr>
                <w:bCs/>
              </w:rPr>
              <w:t>to when</w:t>
            </w:r>
            <w:r w:rsidR="008B2962">
              <w:rPr>
                <w:bCs/>
              </w:rPr>
              <w:t xml:space="preserve"> the following occurs</w:t>
            </w:r>
            <w:r>
              <w:rPr>
                <w:bCs/>
              </w:rPr>
              <w:t>:</w:t>
            </w:r>
          </w:p>
          <w:p w14:paraId="158A802D" w14:textId="39BFA3EE" w:rsidR="00C86C78" w:rsidRPr="00C86C78" w:rsidRDefault="00A25749" w:rsidP="00A210B7">
            <w:pPr>
              <w:pStyle w:val="Header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C86C78">
              <w:rPr>
                <w:bCs/>
              </w:rPr>
              <w:t>the governmental entity or state agency submits to the business entity written notice of the business entity's failure to provide the disclosure; and</w:t>
            </w:r>
          </w:p>
          <w:p w14:paraId="7E8BFF68" w14:textId="11A7A511" w:rsidR="008423E4" w:rsidRDefault="00A25749" w:rsidP="00A210B7">
            <w:pPr>
              <w:pStyle w:val="Header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C86C78">
              <w:rPr>
                <w:bCs/>
              </w:rPr>
              <w:t>the business entity fails to submit</w:t>
            </w:r>
            <w:r w:rsidR="005D5D8D">
              <w:rPr>
                <w:bCs/>
              </w:rPr>
              <w:t xml:space="preserve"> the disclosure</w:t>
            </w:r>
            <w:r w:rsidRPr="00C86C78">
              <w:rPr>
                <w:bCs/>
              </w:rPr>
              <w:t xml:space="preserve"> to</w:t>
            </w:r>
            <w:r w:rsidRPr="00C86C78">
              <w:rPr>
                <w:bCs/>
              </w:rPr>
              <w:t xml:space="preserve"> the governmental entity or state agency on or before the 10th business day after the date the business entity receives the written </w:t>
            </w:r>
            <w:r w:rsidR="003C697D">
              <w:rPr>
                <w:bCs/>
              </w:rPr>
              <w:t>notice</w:t>
            </w:r>
            <w:r>
              <w:rPr>
                <w:bCs/>
              </w:rPr>
              <w:t>.</w:t>
            </w:r>
          </w:p>
          <w:p w14:paraId="2CF3E332" w14:textId="20E9D189" w:rsidR="00CE683B" w:rsidRDefault="00A25749" w:rsidP="00A210B7"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This limitation applies only to such a contract that is either for lobbying services, has a value of at least $1 mil</w:t>
            </w:r>
            <w:r>
              <w:rPr>
                <w:bCs/>
              </w:rPr>
              <w:t xml:space="preserve">lion, or requires an action or vote by the governing body of the entity or agency before the contract may be signed. </w:t>
            </w:r>
          </w:p>
          <w:p w14:paraId="4515EB82" w14:textId="77777777" w:rsidR="00CE683B" w:rsidRDefault="00CE683B" w:rsidP="00A210B7">
            <w:pPr>
              <w:pStyle w:val="Header"/>
              <w:jc w:val="both"/>
              <w:rPr>
                <w:bCs/>
              </w:rPr>
            </w:pPr>
          </w:p>
          <w:p w14:paraId="397BBCDE" w14:textId="08869312" w:rsidR="006A3981" w:rsidRDefault="00A25749" w:rsidP="00A210B7"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H.B. 1817</w:t>
            </w:r>
            <w:r w:rsidR="00C86C78">
              <w:rPr>
                <w:bCs/>
              </w:rPr>
              <w:t xml:space="preserve"> authorizes a </w:t>
            </w:r>
            <w:r w:rsidR="00C86C78" w:rsidRPr="00C86C78">
              <w:rPr>
                <w:bCs/>
              </w:rPr>
              <w:t>court in which a suit challenging the validity of</w:t>
            </w:r>
            <w:r w:rsidR="002D1BB9">
              <w:rPr>
                <w:bCs/>
              </w:rPr>
              <w:t xml:space="preserve"> such a contract</w:t>
            </w:r>
            <w:r w:rsidR="002D1BB9" w:rsidRPr="002D1BB9">
              <w:rPr>
                <w:bCs/>
              </w:rPr>
              <w:t xml:space="preserve"> </w:t>
            </w:r>
            <w:r w:rsidR="003C697D">
              <w:rPr>
                <w:bCs/>
              </w:rPr>
              <w:t xml:space="preserve">is pending </w:t>
            </w:r>
            <w:r w:rsidR="002D1BB9" w:rsidRPr="002D1BB9">
              <w:rPr>
                <w:bCs/>
              </w:rPr>
              <w:t>on the</w:t>
            </w:r>
            <w:r w:rsidR="002D1BB9">
              <w:rPr>
                <w:bCs/>
              </w:rPr>
              <w:t xml:space="preserve"> bill's</w:t>
            </w:r>
            <w:r w:rsidR="002D1BB9" w:rsidRPr="002D1BB9">
              <w:rPr>
                <w:bCs/>
              </w:rPr>
              <w:t xml:space="preserve"> effective date</w:t>
            </w:r>
            <w:r w:rsidR="002D1BB9">
              <w:rPr>
                <w:bCs/>
              </w:rPr>
              <w:t xml:space="preserve"> to require </w:t>
            </w:r>
            <w:r w:rsidR="002D1BB9" w:rsidRPr="002D1BB9">
              <w:rPr>
                <w:bCs/>
              </w:rPr>
              <w:t xml:space="preserve">the governmental entity or state agency to provide the </w:t>
            </w:r>
            <w:r w:rsidR="005A5A80">
              <w:rPr>
                <w:bCs/>
              </w:rPr>
              <w:t xml:space="preserve">required </w:t>
            </w:r>
            <w:r w:rsidR="002D1BB9" w:rsidRPr="002D1BB9">
              <w:rPr>
                <w:bCs/>
              </w:rPr>
              <w:t>written notice</w:t>
            </w:r>
            <w:r w:rsidR="002D1BB9">
              <w:rPr>
                <w:bCs/>
              </w:rPr>
              <w:t xml:space="preserve"> </w:t>
            </w:r>
            <w:r w:rsidR="002D1BB9" w:rsidRPr="002D1BB9">
              <w:rPr>
                <w:bCs/>
              </w:rPr>
              <w:t xml:space="preserve">if the court finds </w:t>
            </w:r>
            <w:r w:rsidR="00803B25">
              <w:rPr>
                <w:bCs/>
              </w:rPr>
              <w:t xml:space="preserve">that </w:t>
            </w:r>
            <w:r w:rsidR="002D1BB9" w:rsidRPr="002D1BB9">
              <w:rPr>
                <w:bCs/>
              </w:rPr>
              <w:t>failure to enforce that requirement would cause an inequitable or unjust result for the parties to the suit.</w:t>
            </w:r>
            <w:r w:rsidR="002432A1">
              <w:rPr>
                <w:bCs/>
              </w:rPr>
              <w:t xml:space="preserve"> </w:t>
            </w:r>
            <w:r w:rsidR="002D1BB9">
              <w:rPr>
                <w:bCs/>
              </w:rPr>
              <w:t xml:space="preserve">The bill </w:t>
            </w:r>
            <w:r w:rsidR="008B2962">
              <w:rPr>
                <w:bCs/>
              </w:rPr>
              <w:t xml:space="preserve">establishes </w:t>
            </w:r>
            <w:r w:rsidR="00803B25">
              <w:rPr>
                <w:bCs/>
              </w:rPr>
              <w:t>that</w:t>
            </w:r>
            <w:r w:rsidR="002D1BB9">
              <w:rPr>
                <w:bCs/>
              </w:rPr>
              <w:t xml:space="preserve"> a contract </w:t>
            </w:r>
            <w:r w:rsidR="002D1BB9" w:rsidRPr="002D1BB9">
              <w:rPr>
                <w:bCs/>
              </w:rPr>
              <w:t>executed before the</w:t>
            </w:r>
            <w:r w:rsidR="002D1BB9">
              <w:rPr>
                <w:bCs/>
              </w:rPr>
              <w:t xml:space="preserve"> bill's</w:t>
            </w:r>
            <w:r w:rsidR="002D1BB9" w:rsidRPr="002D1BB9">
              <w:rPr>
                <w:bCs/>
              </w:rPr>
              <w:t xml:space="preserve"> effective date</w:t>
            </w:r>
            <w:r w:rsidR="002D1BB9">
              <w:rPr>
                <w:bCs/>
              </w:rPr>
              <w:t xml:space="preserve"> </w:t>
            </w:r>
            <w:r w:rsidR="003C697D">
              <w:rPr>
                <w:bCs/>
              </w:rPr>
              <w:t xml:space="preserve">is </w:t>
            </w:r>
            <w:r w:rsidR="002D1BB9">
              <w:rPr>
                <w:bCs/>
              </w:rPr>
              <w:t xml:space="preserve">presumed </w:t>
            </w:r>
            <w:r w:rsidR="002D1BB9" w:rsidRPr="002D1BB9">
              <w:rPr>
                <w:bCs/>
              </w:rPr>
              <w:t xml:space="preserve">to have been properly executed if an action to void or invalidate the contract has not been filed with a court in </w:t>
            </w:r>
            <w:r w:rsidR="002432A1">
              <w:rPr>
                <w:bCs/>
              </w:rPr>
              <w:t>Texas</w:t>
            </w:r>
            <w:r w:rsidR="002D1BB9" w:rsidRPr="002D1BB9">
              <w:rPr>
                <w:bCs/>
              </w:rPr>
              <w:t xml:space="preserve"> before the </w:t>
            </w:r>
            <w:r w:rsidR="002D1BB9">
              <w:rPr>
                <w:bCs/>
              </w:rPr>
              <w:t xml:space="preserve">bill's </w:t>
            </w:r>
            <w:r w:rsidR="002D1BB9" w:rsidRPr="002D1BB9">
              <w:rPr>
                <w:bCs/>
              </w:rPr>
              <w:t>effective date</w:t>
            </w:r>
            <w:r w:rsidR="002D1BB9">
              <w:rPr>
                <w:bCs/>
              </w:rPr>
              <w:t>.</w:t>
            </w:r>
          </w:p>
          <w:p w14:paraId="0F3FF918" w14:textId="1CC7D67A" w:rsidR="00A210B7" w:rsidRPr="002432A1" w:rsidRDefault="00A210B7" w:rsidP="00A210B7">
            <w:pPr>
              <w:pStyle w:val="Header"/>
              <w:jc w:val="both"/>
              <w:rPr>
                <w:bCs/>
              </w:rPr>
            </w:pPr>
          </w:p>
        </w:tc>
      </w:tr>
      <w:tr w:rsidR="004E12E9" w14:paraId="0BC8F04E" w14:textId="77777777" w:rsidTr="00345119">
        <w:tc>
          <w:tcPr>
            <w:tcW w:w="9576" w:type="dxa"/>
          </w:tcPr>
          <w:p w14:paraId="59B5C609" w14:textId="77777777" w:rsidR="008423E4" w:rsidRPr="00A8133F" w:rsidRDefault="00A25749" w:rsidP="00A210B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D7B3E55" w14:textId="77777777" w:rsidR="008423E4" w:rsidRDefault="008423E4" w:rsidP="00A210B7"/>
          <w:p w14:paraId="321C8938" w14:textId="3F00CD11" w:rsidR="008423E4" w:rsidRPr="00A210B7" w:rsidRDefault="00A25749" w:rsidP="00A210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</w:t>
            </w:r>
            <w:r>
              <w:t>does not receive the necessary vote, September 1, 2023.</w:t>
            </w:r>
          </w:p>
        </w:tc>
      </w:tr>
    </w:tbl>
    <w:p w14:paraId="3BC28354" w14:textId="77777777" w:rsidR="004108C3" w:rsidRPr="00A210B7" w:rsidRDefault="004108C3" w:rsidP="00A210B7">
      <w:pPr>
        <w:rPr>
          <w:sz w:val="2"/>
          <w:szCs w:val="2"/>
        </w:rPr>
      </w:pPr>
    </w:p>
    <w:sectPr w:rsidR="004108C3" w:rsidRPr="00A210B7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11F9" w14:textId="77777777" w:rsidR="00000000" w:rsidRDefault="00A25749">
      <w:r>
        <w:separator/>
      </w:r>
    </w:p>
  </w:endnote>
  <w:endnote w:type="continuationSeparator" w:id="0">
    <w:p w14:paraId="48110BF4" w14:textId="77777777" w:rsidR="00000000" w:rsidRDefault="00A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C78F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E12E9" w14:paraId="02C59105" w14:textId="77777777" w:rsidTr="009C1E9A">
      <w:trPr>
        <w:cantSplit/>
      </w:trPr>
      <w:tc>
        <w:tcPr>
          <w:tcW w:w="0" w:type="pct"/>
        </w:tcPr>
        <w:p w14:paraId="493805A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53CA92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332622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EEC97A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583F7C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E12E9" w14:paraId="71E7CEE4" w14:textId="77777777" w:rsidTr="009C1E9A">
      <w:trPr>
        <w:cantSplit/>
      </w:trPr>
      <w:tc>
        <w:tcPr>
          <w:tcW w:w="0" w:type="pct"/>
        </w:tcPr>
        <w:p w14:paraId="70592CB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815D974" w14:textId="3BBCF8BA" w:rsidR="00EC379B" w:rsidRPr="009C1E9A" w:rsidRDefault="00A2574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19588-D</w:t>
          </w:r>
        </w:p>
      </w:tc>
      <w:tc>
        <w:tcPr>
          <w:tcW w:w="2453" w:type="pct"/>
        </w:tcPr>
        <w:p w14:paraId="694407B0" w14:textId="1EB0FC28" w:rsidR="00EC379B" w:rsidRDefault="00A2574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415BB">
            <w:t>23.79.129</w:t>
          </w:r>
          <w:r>
            <w:fldChar w:fldCharType="end"/>
          </w:r>
        </w:p>
      </w:tc>
    </w:tr>
    <w:tr w:rsidR="004E12E9" w14:paraId="7CEADDCE" w14:textId="77777777" w:rsidTr="009C1E9A">
      <w:trPr>
        <w:cantSplit/>
      </w:trPr>
      <w:tc>
        <w:tcPr>
          <w:tcW w:w="0" w:type="pct"/>
        </w:tcPr>
        <w:p w14:paraId="64F8E68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BAFCF6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2B5B6B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03002D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E12E9" w14:paraId="51A6101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94C1C0C" w14:textId="77777777" w:rsidR="00EC379B" w:rsidRDefault="00A2574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7DCEE1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AC41D3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443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F1F5" w14:textId="77777777" w:rsidR="00000000" w:rsidRDefault="00A25749">
      <w:r>
        <w:separator/>
      </w:r>
    </w:p>
  </w:footnote>
  <w:footnote w:type="continuationSeparator" w:id="0">
    <w:p w14:paraId="2B6D0BF4" w14:textId="77777777" w:rsidR="00000000" w:rsidRDefault="00A25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7257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22A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649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14FE"/>
    <w:multiLevelType w:val="hybridMultilevel"/>
    <w:tmpl w:val="23EC6BF6"/>
    <w:lvl w:ilvl="0" w:tplc="11C04A1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418DDA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896FBF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52486F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39A47F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AEA674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5661A7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7EA406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9F6EEA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86"/>
    <w:rsid w:val="00000A70"/>
    <w:rsid w:val="000032B8"/>
    <w:rsid w:val="00003B06"/>
    <w:rsid w:val="000054B9"/>
    <w:rsid w:val="0000710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46F1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3544"/>
    <w:rsid w:val="000638FB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22B3"/>
    <w:rsid w:val="000B3E61"/>
    <w:rsid w:val="000B54AF"/>
    <w:rsid w:val="000B6090"/>
    <w:rsid w:val="000B6FEE"/>
    <w:rsid w:val="000C12C4"/>
    <w:rsid w:val="000C1D1C"/>
    <w:rsid w:val="000C49DA"/>
    <w:rsid w:val="000C4B3D"/>
    <w:rsid w:val="000C6DC1"/>
    <w:rsid w:val="000C6E20"/>
    <w:rsid w:val="000C76D7"/>
    <w:rsid w:val="000C7F1D"/>
    <w:rsid w:val="000D2EBA"/>
    <w:rsid w:val="000D2FC9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12B4"/>
    <w:rsid w:val="001C60B5"/>
    <w:rsid w:val="001C61B0"/>
    <w:rsid w:val="001C7957"/>
    <w:rsid w:val="001C7A4E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5BD5"/>
    <w:rsid w:val="001F6B91"/>
    <w:rsid w:val="001F703C"/>
    <w:rsid w:val="00200B9E"/>
    <w:rsid w:val="00200BF5"/>
    <w:rsid w:val="002010D1"/>
    <w:rsid w:val="00201338"/>
    <w:rsid w:val="00204905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32A1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0206"/>
    <w:rsid w:val="002C1C17"/>
    <w:rsid w:val="002C3203"/>
    <w:rsid w:val="002C3B07"/>
    <w:rsid w:val="002C532B"/>
    <w:rsid w:val="002C5713"/>
    <w:rsid w:val="002D05CC"/>
    <w:rsid w:val="002D1BB9"/>
    <w:rsid w:val="002D305A"/>
    <w:rsid w:val="002E21B8"/>
    <w:rsid w:val="002E7DF9"/>
    <w:rsid w:val="002F097B"/>
    <w:rsid w:val="002F2147"/>
    <w:rsid w:val="002F3111"/>
    <w:rsid w:val="002F3E0F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5FE"/>
    <w:rsid w:val="003B185E"/>
    <w:rsid w:val="003B198A"/>
    <w:rsid w:val="003B1CA3"/>
    <w:rsid w:val="003B1ED9"/>
    <w:rsid w:val="003B2891"/>
    <w:rsid w:val="003B30EB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697D"/>
    <w:rsid w:val="003D726D"/>
    <w:rsid w:val="003E0875"/>
    <w:rsid w:val="003E0BB8"/>
    <w:rsid w:val="003E6CB0"/>
    <w:rsid w:val="003F1BB2"/>
    <w:rsid w:val="003F1F5E"/>
    <w:rsid w:val="003F286A"/>
    <w:rsid w:val="003F3047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5BB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4030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12E9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0EEE"/>
    <w:rsid w:val="005336BD"/>
    <w:rsid w:val="00534A49"/>
    <w:rsid w:val="005363BB"/>
    <w:rsid w:val="00541B98"/>
    <w:rsid w:val="00543374"/>
    <w:rsid w:val="00545427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5A80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5D8D"/>
    <w:rsid w:val="005D767D"/>
    <w:rsid w:val="005D7A30"/>
    <w:rsid w:val="005D7D3B"/>
    <w:rsid w:val="005E1999"/>
    <w:rsid w:val="005E232C"/>
    <w:rsid w:val="005E2B83"/>
    <w:rsid w:val="005E4AEB"/>
    <w:rsid w:val="005E4B25"/>
    <w:rsid w:val="005E738F"/>
    <w:rsid w:val="005E788B"/>
    <w:rsid w:val="005E7CE6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362B"/>
    <w:rsid w:val="00614633"/>
    <w:rsid w:val="00614BC8"/>
    <w:rsid w:val="006151FB"/>
    <w:rsid w:val="00617411"/>
    <w:rsid w:val="006249CB"/>
    <w:rsid w:val="00625430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294F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3981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708B"/>
    <w:rsid w:val="006E0CAC"/>
    <w:rsid w:val="006E1CFB"/>
    <w:rsid w:val="006E1F94"/>
    <w:rsid w:val="006E26C1"/>
    <w:rsid w:val="006E30A8"/>
    <w:rsid w:val="006E45B0"/>
    <w:rsid w:val="006E5427"/>
    <w:rsid w:val="006E5692"/>
    <w:rsid w:val="006F0F78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5F2B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3481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1A5D"/>
    <w:rsid w:val="007F3861"/>
    <w:rsid w:val="007F4162"/>
    <w:rsid w:val="007F5441"/>
    <w:rsid w:val="007F7668"/>
    <w:rsid w:val="00800C63"/>
    <w:rsid w:val="00802243"/>
    <w:rsid w:val="008023D4"/>
    <w:rsid w:val="00803B25"/>
    <w:rsid w:val="00804124"/>
    <w:rsid w:val="00805402"/>
    <w:rsid w:val="0080765F"/>
    <w:rsid w:val="008125F9"/>
    <w:rsid w:val="00812BE3"/>
    <w:rsid w:val="00814516"/>
    <w:rsid w:val="00815C9D"/>
    <w:rsid w:val="008170E2"/>
    <w:rsid w:val="008218E2"/>
    <w:rsid w:val="00823E4C"/>
    <w:rsid w:val="00827749"/>
    <w:rsid w:val="00827B7E"/>
    <w:rsid w:val="00830EEB"/>
    <w:rsid w:val="008347A9"/>
    <w:rsid w:val="00835628"/>
    <w:rsid w:val="00835E90"/>
    <w:rsid w:val="008375BC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8D9"/>
    <w:rsid w:val="00897E80"/>
    <w:rsid w:val="008A04FA"/>
    <w:rsid w:val="008A3188"/>
    <w:rsid w:val="008A3FDF"/>
    <w:rsid w:val="008A6418"/>
    <w:rsid w:val="008B05D8"/>
    <w:rsid w:val="008B0B3D"/>
    <w:rsid w:val="008B2962"/>
    <w:rsid w:val="008B2B1A"/>
    <w:rsid w:val="008B3428"/>
    <w:rsid w:val="008B4A91"/>
    <w:rsid w:val="008B7785"/>
    <w:rsid w:val="008B79F2"/>
    <w:rsid w:val="008C0809"/>
    <w:rsid w:val="008C132C"/>
    <w:rsid w:val="008C3FD0"/>
    <w:rsid w:val="008C70F6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4DD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10B7"/>
    <w:rsid w:val="00A220FF"/>
    <w:rsid w:val="00A227E0"/>
    <w:rsid w:val="00A232E4"/>
    <w:rsid w:val="00A24AAD"/>
    <w:rsid w:val="00A25749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6C9E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4762"/>
    <w:rsid w:val="00AA597A"/>
    <w:rsid w:val="00AA66AD"/>
    <w:rsid w:val="00AA67A3"/>
    <w:rsid w:val="00AA7E52"/>
    <w:rsid w:val="00AB1655"/>
    <w:rsid w:val="00AB1873"/>
    <w:rsid w:val="00AB2C05"/>
    <w:rsid w:val="00AB2CE8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214E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53BC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61FA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1FBA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2C7"/>
    <w:rsid w:val="00C80B8F"/>
    <w:rsid w:val="00C82743"/>
    <w:rsid w:val="00C834CE"/>
    <w:rsid w:val="00C86C78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683B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B86"/>
    <w:rsid w:val="00E16D3E"/>
    <w:rsid w:val="00E17167"/>
    <w:rsid w:val="00E20520"/>
    <w:rsid w:val="00E21D55"/>
    <w:rsid w:val="00E21FDC"/>
    <w:rsid w:val="00E2551E"/>
    <w:rsid w:val="00E26B13"/>
    <w:rsid w:val="00E26DD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608B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6BA7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8CCB2B-5C4C-441A-99A8-7F7693FC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D1BB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D1B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D1BB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1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1BB9"/>
    <w:rPr>
      <w:b/>
      <w:bCs/>
    </w:rPr>
  </w:style>
  <w:style w:type="paragraph" w:styleId="Revision">
    <w:name w:val="Revision"/>
    <w:hidden/>
    <w:uiPriority w:val="99"/>
    <w:semiHidden/>
    <w:rsid w:val="000D2FC9"/>
    <w:rPr>
      <w:sz w:val="24"/>
      <w:szCs w:val="24"/>
    </w:rPr>
  </w:style>
  <w:style w:type="character" w:styleId="Hyperlink">
    <w:name w:val="Hyperlink"/>
    <w:basedOn w:val="DefaultParagraphFont"/>
    <w:unhideWhenUsed/>
    <w:rsid w:val="0054542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5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2544</Characters>
  <Application>Microsoft Office Word</Application>
  <DocSecurity>4</DocSecurity>
  <Lines>60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HB01817 (Committee Report (Unamended))</vt:lpstr>
    </vt:vector>
  </TitlesOfParts>
  <Company>State of Texas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19588</dc:subject>
  <dc:creator>State of Texas</dc:creator>
  <dc:description>HB 1817 by Capriglione-(H)State Affairs</dc:description>
  <cp:lastModifiedBy>Damian Duarte</cp:lastModifiedBy>
  <cp:revision>2</cp:revision>
  <cp:lastPrinted>2003-11-26T17:21:00Z</cp:lastPrinted>
  <dcterms:created xsi:type="dcterms:W3CDTF">2023-03-20T22:22:00Z</dcterms:created>
  <dcterms:modified xsi:type="dcterms:W3CDTF">2023-03-20T22:22:00Z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23.79.129</vt:lpwstr>
  </property>
</Properties>
</file>