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40D7" w14:paraId="7A66A715" w14:textId="77777777" w:rsidTr="00345119">
        <w:tc>
          <w:tcPr>
            <w:tcW w:w="9576" w:type="dxa"/>
            <w:noWrap/>
          </w:tcPr>
          <w:p w14:paraId="066C0E20" w14:textId="77777777" w:rsidR="008423E4" w:rsidRPr="0022177D" w:rsidRDefault="001E1155" w:rsidP="003907F1">
            <w:pPr>
              <w:pStyle w:val="Heading1"/>
            </w:pPr>
            <w:r w:rsidRPr="00631897">
              <w:t>BILL ANALYSIS</w:t>
            </w:r>
          </w:p>
        </w:tc>
      </w:tr>
    </w:tbl>
    <w:p w14:paraId="4F24B914" w14:textId="77777777" w:rsidR="008423E4" w:rsidRPr="0022177D" w:rsidRDefault="008423E4" w:rsidP="003907F1">
      <w:pPr>
        <w:jc w:val="center"/>
      </w:pPr>
    </w:p>
    <w:p w14:paraId="4EDD1632" w14:textId="77777777" w:rsidR="008423E4" w:rsidRPr="00B31F0E" w:rsidRDefault="008423E4" w:rsidP="003907F1"/>
    <w:p w14:paraId="12A96584" w14:textId="77777777" w:rsidR="008423E4" w:rsidRPr="00742794" w:rsidRDefault="008423E4" w:rsidP="003907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40D7" w14:paraId="5BF67006" w14:textId="77777777" w:rsidTr="00345119">
        <w:tc>
          <w:tcPr>
            <w:tcW w:w="9576" w:type="dxa"/>
          </w:tcPr>
          <w:p w14:paraId="07A83B45" w14:textId="3274D554" w:rsidR="008423E4" w:rsidRPr="00861995" w:rsidRDefault="001E1155" w:rsidP="003907F1">
            <w:pPr>
              <w:jc w:val="right"/>
            </w:pPr>
            <w:r>
              <w:t>C.S.H.B. 1847</w:t>
            </w:r>
          </w:p>
        </w:tc>
      </w:tr>
      <w:tr w:rsidR="001A40D7" w14:paraId="32DC11E6" w14:textId="77777777" w:rsidTr="00345119">
        <w:tc>
          <w:tcPr>
            <w:tcW w:w="9576" w:type="dxa"/>
          </w:tcPr>
          <w:p w14:paraId="18348B98" w14:textId="39FC87C1" w:rsidR="008423E4" w:rsidRPr="00861995" w:rsidRDefault="001E1155" w:rsidP="003907F1">
            <w:pPr>
              <w:jc w:val="right"/>
            </w:pPr>
            <w:r>
              <w:t xml:space="preserve">By: </w:t>
            </w:r>
            <w:r w:rsidR="00914A5D">
              <w:t>Howard</w:t>
            </w:r>
          </w:p>
        </w:tc>
      </w:tr>
      <w:tr w:rsidR="001A40D7" w14:paraId="14899E52" w14:textId="77777777" w:rsidTr="00345119">
        <w:tc>
          <w:tcPr>
            <w:tcW w:w="9576" w:type="dxa"/>
          </w:tcPr>
          <w:p w14:paraId="3FA76990" w14:textId="2BB2121C" w:rsidR="008423E4" w:rsidRPr="00861995" w:rsidRDefault="001E1155" w:rsidP="003907F1">
            <w:pPr>
              <w:jc w:val="right"/>
            </w:pPr>
            <w:r>
              <w:t>Public Health</w:t>
            </w:r>
          </w:p>
        </w:tc>
      </w:tr>
      <w:tr w:rsidR="001A40D7" w14:paraId="43918334" w14:textId="77777777" w:rsidTr="00345119">
        <w:tc>
          <w:tcPr>
            <w:tcW w:w="9576" w:type="dxa"/>
          </w:tcPr>
          <w:p w14:paraId="7E8B5D91" w14:textId="250017F0" w:rsidR="008423E4" w:rsidRDefault="001E1155" w:rsidP="003907F1">
            <w:pPr>
              <w:jc w:val="right"/>
            </w:pPr>
            <w:r>
              <w:t>Committee Report (Substituted)</w:t>
            </w:r>
          </w:p>
        </w:tc>
      </w:tr>
    </w:tbl>
    <w:p w14:paraId="406341B9" w14:textId="77777777" w:rsidR="008423E4" w:rsidRDefault="008423E4" w:rsidP="003907F1">
      <w:pPr>
        <w:tabs>
          <w:tab w:val="right" w:pos="9360"/>
        </w:tabs>
      </w:pPr>
    </w:p>
    <w:p w14:paraId="3ADD3C43" w14:textId="77777777" w:rsidR="008423E4" w:rsidRDefault="008423E4" w:rsidP="003907F1"/>
    <w:p w14:paraId="545D98F3" w14:textId="77777777" w:rsidR="008423E4" w:rsidRDefault="008423E4" w:rsidP="003907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40D7" w14:paraId="06E8D299" w14:textId="77777777" w:rsidTr="00345119">
        <w:tc>
          <w:tcPr>
            <w:tcW w:w="9576" w:type="dxa"/>
          </w:tcPr>
          <w:p w14:paraId="25C18E7A" w14:textId="77777777" w:rsidR="008423E4" w:rsidRPr="00A8133F" w:rsidRDefault="001E1155" w:rsidP="003907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839CE4" w14:textId="77777777" w:rsidR="008423E4" w:rsidRDefault="008423E4" w:rsidP="003907F1"/>
          <w:p w14:paraId="4AA2C010" w14:textId="5919FC7F" w:rsidR="00B33AC6" w:rsidRDefault="001E1155" w:rsidP="003907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2022, the </w:t>
            </w:r>
            <w:r w:rsidR="001A3D17">
              <w:t>c</w:t>
            </w:r>
            <w:r>
              <w:t xml:space="preserve">ommissioner of </w:t>
            </w:r>
            <w:r w:rsidR="001A3D17">
              <w:t>state health services</w:t>
            </w:r>
            <w:r>
              <w:t xml:space="preserve"> notified the </w:t>
            </w:r>
            <w:r w:rsidR="002D46B6">
              <w:t xml:space="preserve">legislature </w:t>
            </w:r>
            <w:r>
              <w:t>that the</w:t>
            </w:r>
            <w:r>
              <w:rPr>
                <w:spacing w:val="-4"/>
              </w:rPr>
              <w:t xml:space="preserve"> </w:t>
            </w:r>
            <w:r>
              <w:t>2022</w:t>
            </w:r>
            <w:r w:rsidR="001A3D17">
              <w:t xml:space="preserve"> Texas</w:t>
            </w:r>
            <w:r>
              <w:rPr>
                <w:spacing w:val="-4"/>
              </w:rPr>
              <w:t xml:space="preserve"> </w:t>
            </w:r>
            <w:r>
              <w:t>Maternal</w:t>
            </w:r>
            <w:r>
              <w:rPr>
                <w:spacing w:val="-4"/>
              </w:rPr>
              <w:t xml:space="preserve"> </w:t>
            </w:r>
            <w:r>
              <w:t>Mortality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Morbidity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 w:rsidR="00065583">
              <w:t>'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released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its statutory deadline of September 1 due to staffing shortages and additional barriers in the process of preparing the report.</w:t>
            </w:r>
            <w:r w:rsidR="001A3D17">
              <w:t xml:space="preserve"> </w:t>
            </w:r>
            <w:r>
              <w:t xml:space="preserve">According to the Department of State </w:t>
            </w:r>
            <w:r w:rsidR="005757F9">
              <w:t>H</w:t>
            </w:r>
            <w:r>
              <w:t>ealth Services, Texas is unli</w:t>
            </w:r>
            <w:r>
              <w:t>ke any other state in its data collection</w:t>
            </w:r>
            <w:r>
              <w:rPr>
                <w:spacing w:val="-4"/>
              </w:rPr>
              <w:t xml:space="preserve"> </w:t>
            </w:r>
            <w:r w:rsidR="001A3D17">
              <w:rPr>
                <w:spacing w:val="-4"/>
              </w:rPr>
              <w:t xml:space="preserve">process </w:t>
            </w:r>
            <w:r>
              <w:t>because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extra</w:t>
            </w:r>
            <w:r>
              <w:rPr>
                <w:spacing w:val="-4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redacting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maternal</w:t>
            </w:r>
            <w:r>
              <w:rPr>
                <w:spacing w:val="-4"/>
              </w:rPr>
              <w:t xml:space="preserve"> </w:t>
            </w:r>
            <w:r>
              <w:t>mortality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r>
              <w:rPr>
                <w:spacing w:val="-4"/>
              </w:rPr>
              <w:t xml:space="preserve"> </w:t>
            </w:r>
            <w:r>
              <w:t xml:space="preserve">before they are reviewed by the </w:t>
            </w:r>
            <w:r w:rsidR="00751DA8">
              <w:t xml:space="preserve">health care providers </w:t>
            </w:r>
            <w:r>
              <w:t xml:space="preserve">collecting the data. The purpose of the redaction is to </w:t>
            </w:r>
            <w:r w:rsidR="00391C5D">
              <w:t>protect</w:t>
            </w:r>
            <w:r w:rsidR="005757F9">
              <w:t xml:space="preserve"> </w:t>
            </w:r>
            <w:r>
              <w:t>the</w:t>
            </w:r>
            <w:r w:rsidR="00624D28">
              <w:t>se providers</w:t>
            </w:r>
            <w:r w:rsidR="002D46B6">
              <w:t xml:space="preserve"> from liability under </w:t>
            </w:r>
            <w:r w:rsidR="00624D28">
              <w:t>applicable requirements to report certain conduct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Th</w:t>
            </w:r>
            <w:r w:rsidR="001A3D17">
              <w:t>is</w:t>
            </w:r>
            <w:r>
              <w:t xml:space="preserve"> additional step has caused significant delay in the preparation of the report and contributed to </w:t>
            </w:r>
            <w:r w:rsidR="005757F9">
              <w:t>the</w:t>
            </w:r>
            <w:r>
              <w:t xml:space="preserve"> </w:t>
            </w:r>
            <w:r w:rsidR="005757F9">
              <w:t xml:space="preserve">report's </w:t>
            </w:r>
            <w:r>
              <w:t xml:space="preserve">untimely delivery </w:t>
            </w:r>
            <w:r w:rsidR="005757F9">
              <w:t>last year</w:t>
            </w:r>
            <w:r>
              <w:t>.</w:t>
            </w:r>
            <w:r w:rsidR="001A3D17">
              <w:t xml:space="preserve"> </w:t>
            </w:r>
            <w:r w:rsidR="00DD7F2D">
              <w:t>C.S.</w:t>
            </w:r>
            <w:r>
              <w:t>H</w:t>
            </w:r>
            <w:r w:rsidR="001A3D17">
              <w:t>.</w:t>
            </w:r>
            <w:r>
              <w:t>B</w:t>
            </w:r>
            <w:r w:rsidR="001A3D17">
              <w:t>.</w:t>
            </w:r>
            <w:r w:rsidR="00065583">
              <w:t> </w:t>
            </w:r>
            <w:r>
              <w:t xml:space="preserve">1847 seeks to address this issue by </w:t>
            </w:r>
            <w:r w:rsidR="001A3D17">
              <w:t xml:space="preserve">providing </w:t>
            </w:r>
            <w:r>
              <w:t xml:space="preserve">a limited </w:t>
            </w:r>
            <w:r w:rsidR="00624D28">
              <w:t xml:space="preserve">exemption </w:t>
            </w:r>
            <w:r w:rsidR="001A3D17">
              <w:t xml:space="preserve">from </w:t>
            </w:r>
            <w:r w:rsidR="00624D28">
              <w:t xml:space="preserve">a health care provider's </w:t>
            </w:r>
            <w:r>
              <w:t xml:space="preserve">duty to report </w:t>
            </w:r>
            <w:r w:rsidR="001A3D17">
              <w:t>and</w:t>
            </w:r>
            <w:r>
              <w:rPr>
                <w:spacing w:val="-4"/>
              </w:rPr>
              <w:t xml:space="preserve"> </w:t>
            </w:r>
            <w:r>
              <w:t>allow</w:t>
            </w:r>
            <w:r w:rsidR="001A3D17">
              <w:t>ing</w:t>
            </w:r>
            <w:r>
              <w:rPr>
                <w:spacing w:val="-4"/>
              </w:rPr>
              <w:t xml:space="preserve"> </w:t>
            </w:r>
            <w:r w:rsidR="00624D28">
              <w:t>these providers</w:t>
            </w:r>
            <w:r w:rsidR="00624D28"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unredacted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maternal </w:t>
            </w:r>
            <w:r>
              <w:t>mortality and morbidity cases.</w:t>
            </w:r>
          </w:p>
          <w:p w14:paraId="18AED9DE" w14:textId="77777777" w:rsidR="008423E4" w:rsidRPr="00E26B13" w:rsidRDefault="008423E4" w:rsidP="003907F1">
            <w:pPr>
              <w:rPr>
                <w:b/>
              </w:rPr>
            </w:pPr>
          </w:p>
        </w:tc>
      </w:tr>
      <w:tr w:rsidR="001A40D7" w14:paraId="6A6E6FCC" w14:textId="77777777" w:rsidTr="00345119">
        <w:tc>
          <w:tcPr>
            <w:tcW w:w="9576" w:type="dxa"/>
          </w:tcPr>
          <w:p w14:paraId="2CE3ECDC" w14:textId="77777777" w:rsidR="0017725B" w:rsidRDefault="001E1155" w:rsidP="003907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026D05" w14:textId="77777777" w:rsidR="0017725B" w:rsidRDefault="0017725B" w:rsidP="003907F1">
            <w:pPr>
              <w:rPr>
                <w:b/>
                <w:u w:val="single"/>
              </w:rPr>
            </w:pPr>
          </w:p>
          <w:p w14:paraId="543CD827" w14:textId="3D3D3360" w:rsidR="00211A94" w:rsidRPr="00211A94" w:rsidRDefault="001E1155" w:rsidP="003907F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</w:t>
            </w:r>
            <w:r>
              <w:t xml:space="preserve"> of a person for community supervision, parole, or mandatory supervision.</w:t>
            </w:r>
          </w:p>
          <w:p w14:paraId="06C90FC3" w14:textId="77777777" w:rsidR="0017725B" w:rsidRPr="0017725B" w:rsidRDefault="0017725B" w:rsidP="003907F1">
            <w:pPr>
              <w:rPr>
                <w:b/>
                <w:u w:val="single"/>
              </w:rPr>
            </w:pPr>
          </w:p>
        </w:tc>
      </w:tr>
      <w:tr w:rsidR="001A40D7" w14:paraId="05792E6A" w14:textId="77777777" w:rsidTr="00345119">
        <w:tc>
          <w:tcPr>
            <w:tcW w:w="9576" w:type="dxa"/>
          </w:tcPr>
          <w:p w14:paraId="29C3DBA6" w14:textId="77777777" w:rsidR="008423E4" w:rsidRPr="00A8133F" w:rsidRDefault="001E1155" w:rsidP="003907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CE306B" w14:textId="77777777" w:rsidR="008423E4" w:rsidRDefault="008423E4" w:rsidP="003907F1"/>
          <w:p w14:paraId="3384568C" w14:textId="76F9055C" w:rsidR="00211A94" w:rsidRDefault="001E1155" w:rsidP="003907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</w:t>
            </w:r>
            <w:r>
              <w:t>ion.</w:t>
            </w:r>
          </w:p>
          <w:p w14:paraId="49A2CC01" w14:textId="77777777" w:rsidR="008423E4" w:rsidRPr="00E21FDC" w:rsidRDefault="008423E4" w:rsidP="003907F1">
            <w:pPr>
              <w:rPr>
                <w:b/>
              </w:rPr>
            </w:pPr>
          </w:p>
        </w:tc>
      </w:tr>
      <w:tr w:rsidR="001A40D7" w14:paraId="779AC368" w14:textId="77777777" w:rsidTr="00345119">
        <w:tc>
          <w:tcPr>
            <w:tcW w:w="9576" w:type="dxa"/>
          </w:tcPr>
          <w:p w14:paraId="14F64924" w14:textId="77777777" w:rsidR="008423E4" w:rsidRPr="00A8133F" w:rsidRDefault="001E1155" w:rsidP="003907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609922" w14:textId="77777777" w:rsidR="008423E4" w:rsidRDefault="008423E4" w:rsidP="003907F1"/>
          <w:p w14:paraId="5FDF89E3" w14:textId="51D15649" w:rsidR="009C36CD" w:rsidRPr="009C36CD" w:rsidRDefault="001E1155" w:rsidP="003907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C2D33">
              <w:t xml:space="preserve">H.B. 1847 amends the </w:t>
            </w:r>
            <w:r w:rsidR="00CF7A61">
              <w:t>Health and Safety Code to exempt a</w:t>
            </w:r>
            <w:r w:rsidR="00CF7A61" w:rsidRPr="00CF7A61">
              <w:t xml:space="preserve"> health care provider, including a nurse, </w:t>
            </w:r>
            <w:r w:rsidR="00502313">
              <w:t xml:space="preserve">from the requirement to report certain conduct related to the provider's profession if the provider </w:t>
            </w:r>
            <w:r w:rsidR="0067144A" w:rsidRPr="0067144A">
              <w:t xml:space="preserve">learns of </w:t>
            </w:r>
            <w:r w:rsidR="00DB6822">
              <w:t xml:space="preserve">the conduct </w:t>
            </w:r>
            <w:r w:rsidR="00502313">
              <w:t>during the</w:t>
            </w:r>
            <w:r w:rsidR="00502313" w:rsidRPr="0067144A">
              <w:t xml:space="preserve"> </w:t>
            </w:r>
            <w:r w:rsidR="0067144A" w:rsidRPr="0067144A">
              <w:t>review</w:t>
            </w:r>
            <w:r w:rsidR="00502313">
              <w:t xml:space="preserve"> of information relevant to a case of pregnancy-associated death, pregnancy-related death, or severe maternal morbidity obtained under statutory provisions governing</w:t>
            </w:r>
            <w:r w:rsidR="0067144A" w:rsidRPr="0067144A">
              <w:t xml:space="preserve"> the Texas Maternal Mortality and Morbidity Review Committee</w:t>
            </w:r>
            <w:r w:rsidR="0067144A">
              <w:t xml:space="preserve">. </w:t>
            </w:r>
            <w:r w:rsidR="0067144A" w:rsidRPr="0067144A">
              <w:t xml:space="preserve"> </w:t>
            </w:r>
          </w:p>
          <w:p w14:paraId="1DB9AFD2" w14:textId="77777777" w:rsidR="008423E4" w:rsidRPr="00835628" w:rsidRDefault="008423E4" w:rsidP="003907F1">
            <w:pPr>
              <w:rPr>
                <w:b/>
              </w:rPr>
            </w:pPr>
          </w:p>
        </w:tc>
      </w:tr>
      <w:tr w:rsidR="001A40D7" w14:paraId="31B2B4A9" w14:textId="77777777" w:rsidTr="00345119">
        <w:tc>
          <w:tcPr>
            <w:tcW w:w="9576" w:type="dxa"/>
          </w:tcPr>
          <w:p w14:paraId="07476EDC" w14:textId="77777777" w:rsidR="008423E4" w:rsidRPr="00A8133F" w:rsidRDefault="001E1155" w:rsidP="003907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74ADFC" w14:textId="77777777" w:rsidR="008423E4" w:rsidRDefault="008423E4" w:rsidP="003907F1"/>
          <w:p w14:paraId="49438200" w14:textId="2A2124A2" w:rsidR="008423E4" w:rsidRPr="003624F2" w:rsidRDefault="001E1155" w:rsidP="003907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DDF1197" w14:textId="77777777" w:rsidR="008423E4" w:rsidRPr="00233FDB" w:rsidRDefault="008423E4" w:rsidP="003907F1">
            <w:pPr>
              <w:rPr>
                <w:b/>
              </w:rPr>
            </w:pPr>
          </w:p>
        </w:tc>
      </w:tr>
      <w:tr w:rsidR="001A40D7" w14:paraId="4B12607C" w14:textId="77777777" w:rsidTr="00345119">
        <w:tc>
          <w:tcPr>
            <w:tcW w:w="9576" w:type="dxa"/>
          </w:tcPr>
          <w:p w14:paraId="60962F54" w14:textId="77777777" w:rsidR="00914A5D" w:rsidRDefault="001E1155" w:rsidP="003907F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2A4734BF" w14:textId="77777777" w:rsidR="008F187D" w:rsidRDefault="008F187D" w:rsidP="003907F1">
            <w:pPr>
              <w:jc w:val="both"/>
            </w:pPr>
          </w:p>
          <w:p w14:paraId="2B242866" w14:textId="191E1E01" w:rsidR="008F187D" w:rsidRDefault="001E1155" w:rsidP="003907F1">
            <w:pPr>
              <w:jc w:val="both"/>
            </w:pPr>
            <w:r>
              <w:t>While C.S.H.B. 1847 may differ from the introduced in minor or nonsubstantive ways, the following summarizes the substantial differences between the introduced and committee substitute versions of the bill.</w:t>
            </w:r>
          </w:p>
          <w:p w14:paraId="3371D08D" w14:textId="305A6FF0" w:rsidR="008F187D" w:rsidRDefault="008F187D" w:rsidP="003907F1">
            <w:pPr>
              <w:jc w:val="both"/>
            </w:pPr>
          </w:p>
          <w:p w14:paraId="071FC75F" w14:textId="17232D4F" w:rsidR="002F1E1D" w:rsidRDefault="001E1155" w:rsidP="003907F1">
            <w:pPr>
              <w:jc w:val="both"/>
            </w:pPr>
            <w:r>
              <w:t>While both the introduced and substi</w:t>
            </w:r>
            <w:r>
              <w:t xml:space="preserve">tute versions exempt a person who learns of reportable conduct while reviewing certain information relevant to the Texas Maternal Mortality and Morbidity Review Committee from </w:t>
            </w:r>
            <w:r w:rsidR="00F70C80">
              <w:t>being required</w:t>
            </w:r>
            <w:r>
              <w:t xml:space="preserve"> to report that conduct, the </w:t>
            </w:r>
            <w:r w:rsidR="00EE4DF6">
              <w:t xml:space="preserve">exemptions differ </w:t>
            </w:r>
            <w:r>
              <w:t>in the following ma</w:t>
            </w:r>
            <w:r>
              <w:t>nner:</w:t>
            </w:r>
          </w:p>
          <w:p w14:paraId="4CE514A9" w14:textId="11862AF4" w:rsidR="00D06DB8" w:rsidRDefault="001E1155" w:rsidP="003907F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</w:t>
            </w:r>
            <w:r w:rsidR="002F1E1D">
              <w:t xml:space="preserve">he </w:t>
            </w:r>
            <w:r>
              <w:t>substitute</w:t>
            </w:r>
            <w:r w:rsidR="002F1E1D">
              <w:t xml:space="preserve"> exempts </w:t>
            </w:r>
            <w:r>
              <w:t xml:space="preserve">a health care provider, including a nurse, </w:t>
            </w:r>
            <w:r w:rsidR="00312F8E">
              <w:t>from reporting conduct related to the provider's profession</w:t>
            </w:r>
            <w:r>
              <w:t xml:space="preserve">, </w:t>
            </w:r>
            <w:r w:rsidR="002F1E1D">
              <w:t>w</w:t>
            </w:r>
            <w:r w:rsidR="008F187D" w:rsidRPr="008F187D">
              <w:t xml:space="preserve">hereas the introduced </w:t>
            </w:r>
            <w:r w:rsidR="008F187D">
              <w:t>ex</w:t>
            </w:r>
            <w:r w:rsidR="00EE4DF6">
              <w:t xml:space="preserve">empted </w:t>
            </w:r>
            <w:r w:rsidR="008F187D">
              <w:t xml:space="preserve">a </w:t>
            </w:r>
            <w:r>
              <w:t xml:space="preserve">person subject to the conduct reporting requirements under the Nursing Practice Act from </w:t>
            </w:r>
            <w:r>
              <w:t>the requirement to report any applicable conduct to the Texas Board of Nursing; and</w:t>
            </w:r>
          </w:p>
          <w:p w14:paraId="1885254E" w14:textId="50D94446" w:rsidR="008F187D" w:rsidRDefault="001E1155" w:rsidP="003907F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</w:t>
            </w:r>
            <w:r w:rsidR="007F4D25">
              <w:t xml:space="preserve"> exemption provided in the substitute relates to information the provider reviewed </w:t>
            </w:r>
            <w:r w:rsidRPr="009D507D">
              <w:t>relevant to a case of pregnancy-associated death, pregnancy-related death, or severe m</w:t>
            </w:r>
            <w:r w:rsidRPr="009D507D">
              <w:t>aternal morbidity</w:t>
            </w:r>
            <w:r>
              <w:t xml:space="preserve"> </w:t>
            </w:r>
            <w:r w:rsidR="007F4D25">
              <w:t xml:space="preserve">obtained under statutory provisions governing the committee, whereas the </w:t>
            </w:r>
            <w:r w:rsidR="00EE4DF6">
              <w:t>exemption</w:t>
            </w:r>
            <w:r w:rsidR="00751DA8">
              <w:t xml:space="preserve"> provided</w:t>
            </w:r>
            <w:r w:rsidR="007F4D25">
              <w:t xml:space="preserve"> in the introduced related to death cases the person reviewed for the committee in connection with a report required by law</w:t>
            </w:r>
            <w:r>
              <w:t xml:space="preserve">. </w:t>
            </w:r>
          </w:p>
          <w:p w14:paraId="7E48D4A3" w14:textId="252E92B2" w:rsidR="008F187D" w:rsidRPr="008F187D" w:rsidRDefault="008F187D" w:rsidP="003907F1">
            <w:pPr>
              <w:jc w:val="both"/>
            </w:pPr>
          </w:p>
        </w:tc>
      </w:tr>
      <w:tr w:rsidR="001A40D7" w14:paraId="3A3DA6C2" w14:textId="77777777" w:rsidTr="00345119">
        <w:tc>
          <w:tcPr>
            <w:tcW w:w="9576" w:type="dxa"/>
          </w:tcPr>
          <w:p w14:paraId="40B9FD77" w14:textId="77777777" w:rsidR="00914A5D" w:rsidRPr="009C1E9A" w:rsidRDefault="00914A5D" w:rsidP="003907F1">
            <w:pPr>
              <w:rPr>
                <w:b/>
                <w:u w:val="single"/>
              </w:rPr>
            </w:pPr>
          </w:p>
        </w:tc>
      </w:tr>
      <w:tr w:rsidR="001A40D7" w14:paraId="4D72ABB2" w14:textId="77777777" w:rsidTr="00345119">
        <w:tc>
          <w:tcPr>
            <w:tcW w:w="9576" w:type="dxa"/>
          </w:tcPr>
          <w:p w14:paraId="46CD4F94" w14:textId="77777777" w:rsidR="00914A5D" w:rsidRPr="00914A5D" w:rsidRDefault="00914A5D" w:rsidP="003907F1">
            <w:pPr>
              <w:jc w:val="both"/>
            </w:pPr>
          </w:p>
        </w:tc>
      </w:tr>
    </w:tbl>
    <w:p w14:paraId="2FC972F7" w14:textId="77777777" w:rsidR="008423E4" w:rsidRPr="00BE0E75" w:rsidRDefault="008423E4" w:rsidP="003907F1">
      <w:pPr>
        <w:jc w:val="both"/>
        <w:rPr>
          <w:rFonts w:ascii="Arial" w:hAnsi="Arial"/>
          <w:sz w:val="16"/>
          <w:szCs w:val="16"/>
        </w:rPr>
      </w:pPr>
    </w:p>
    <w:p w14:paraId="5E4C30B7" w14:textId="77777777" w:rsidR="004108C3" w:rsidRPr="008423E4" w:rsidRDefault="004108C3" w:rsidP="003907F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6D81" w14:textId="77777777" w:rsidR="00000000" w:rsidRDefault="001E1155">
      <w:r>
        <w:separator/>
      </w:r>
    </w:p>
  </w:endnote>
  <w:endnote w:type="continuationSeparator" w:id="0">
    <w:p w14:paraId="2290FE1A" w14:textId="77777777" w:rsidR="00000000" w:rsidRDefault="001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FC7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40D7" w14:paraId="3098171B" w14:textId="77777777" w:rsidTr="009C1E9A">
      <w:trPr>
        <w:cantSplit/>
      </w:trPr>
      <w:tc>
        <w:tcPr>
          <w:tcW w:w="0" w:type="pct"/>
        </w:tcPr>
        <w:p w14:paraId="157B9E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8492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EB447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AE71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3DA2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40D7" w14:paraId="35803542" w14:textId="77777777" w:rsidTr="009C1E9A">
      <w:trPr>
        <w:cantSplit/>
      </w:trPr>
      <w:tc>
        <w:tcPr>
          <w:tcW w:w="0" w:type="pct"/>
        </w:tcPr>
        <w:p w14:paraId="55BB2B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7B96B5" w14:textId="6A5DA240" w:rsidR="00EC379B" w:rsidRPr="009C1E9A" w:rsidRDefault="001E11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22231-D</w:t>
          </w:r>
        </w:p>
      </w:tc>
      <w:tc>
        <w:tcPr>
          <w:tcW w:w="2453" w:type="pct"/>
        </w:tcPr>
        <w:p w14:paraId="08516444" w14:textId="632A9A1F" w:rsidR="00EC379B" w:rsidRDefault="001E11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4080">
            <w:t>23.95.558</w:t>
          </w:r>
          <w:r>
            <w:fldChar w:fldCharType="end"/>
          </w:r>
        </w:p>
      </w:tc>
    </w:tr>
    <w:tr w:rsidR="001A40D7" w14:paraId="64018E3D" w14:textId="77777777" w:rsidTr="009C1E9A">
      <w:trPr>
        <w:cantSplit/>
      </w:trPr>
      <w:tc>
        <w:tcPr>
          <w:tcW w:w="0" w:type="pct"/>
        </w:tcPr>
        <w:p w14:paraId="1287F3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927D42" w14:textId="696D8E37" w:rsidR="00EC379B" w:rsidRPr="009C1E9A" w:rsidRDefault="001E115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20783</w:t>
          </w:r>
        </w:p>
      </w:tc>
      <w:tc>
        <w:tcPr>
          <w:tcW w:w="2453" w:type="pct"/>
        </w:tcPr>
        <w:p w14:paraId="02DC0C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DBDE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40D7" w14:paraId="655CE3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BAB5B8" w14:textId="77777777" w:rsidR="00EC379B" w:rsidRDefault="001E11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DA1B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971AD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48C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9DDD" w14:textId="77777777" w:rsidR="00000000" w:rsidRDefault="001E1155">
      <w:r>
        <w:separator/>
      </w:r>
    </w:p>
  </w:footnote>
  <w:footnote w:type="continuationSeparator" w:id="0">
    <w:p w14:paraId="248E1DB0" w14:textId="77777777" w:rsidR="00000000" w:rsidRDefault="001E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30D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880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94E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6585"/>
    <w:multiLevelType w:val="hybridMultilevel"/>
    <w:tmpl w:val="F420164E"/>
    <w:lvl w:ilvl="0" w:tplc="7030805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CF40BA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A3C3F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F28A6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1ECA0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E4A1D7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2FED8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36E256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458C13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217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0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C63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583"/>
    <w:rsid w:val="000667BA"/>
    <w:rsid w:val="000676A7"/>
    <w:rsid w:val="00073914"/>
    <w:rsid w:val="00074236"/>
    <w:rsid w:val="000746BD"/>
    <w:rsid w:val="000768E0"/>
    <w:rsid w:val="00076D7D"/>
    <w:rsid w:val="00080D95"/>
    <w:rsid w:val="00090E6B"/>
    <w:rsid w:val="00090EF4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D4C"/>
    <w:rsid w:val="00163E45"/>
    <w:rsid w:val="001664C2"/>
    <w:rsid w:val="00171BF2"/>
    <w:rsid w:val="00172B5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58D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17"/>
    <w:rsid w:val="001A3DDF"/>
    <w:rsid w:val="001A40D7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155"/>
    <w:rsid w:val="001E2CAD"/>
    <w:rsid w:val="001E34DB"/>
    <w:rsid w:val="001E37CD"/>
    <w:rsid w:val="001E4070"/>
    <w:rsid w:val="001E655E"/>
    <w:rsid w:val="001F3CB8"/>
    <w:rsid w:val="001F59EF"/>
    <w:rsid w:val="001F6B91"/>
    <w:rsid w:val="001F703C"/>
    <w:rsid w:val="00200B9E"/>
    <w:rsid w:val="00200BF5"/>
    <w:rsid w:val="002010D1"/>
    <w:rsid w:val="00201338"/>
    <w:rsid w:val="0020775D"/>
    <w:rsid w:val="002116DD"/>
    <w:rsid w:val="00211A94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F2E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6B6"/>
    <w:rsid w:val="002E21B8"/>
    <w:rsid w:val="002E7DF9"/>
    <w:rsid w:val="002F097B"/>
    <w:rsid w:val="002F1E1D"/>
    <w:rsid w:val="002F2147"/>
    <w:rsid w:val="002F3111"/>
    <w:rsid w:val="002F4AEC"/>
    <w:rsid w:val="002F6EA3"/>
    <w:rsid w:val="002F795D"/>
    <w:rsid w:val="00300823"/>
    <w:rsid w:val="00300D7F"/>
    <w:rsid w:val="00301638"/>
    <w:rsid w:val="00303B0C"/>
    <w:rsid w:val="0030459C"/>
    <w:rsid w:val="00312F8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7F1"/>
    <w:rsid w:val="00391C5D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8B9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358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313"/>
    <w:rsid w:val="00505121"/>
    <w:rsid w:val="00505C04"/>
    <w:rsid w:val="00505F1B"/>
    <w:rsid w:val="0050669E"/>
    <w:rsid w:val="00506EEA"/>
    <w:rsid w:val="005073E8"/>
    <w:rsid w:val="00510503"/>
    <w:rsid w:val="0051324D"/>
    <w:rsid w:val="00515466"/>
    <w:rsid w:val="005154F7"/>
    <w:rsid w:val="005159DE"/>
    <w:rsid w:val="005224BD"/>
    <w:rsid w:val="005269CE"/>
    <w:rsid w:val="00530173"/>
    <w:rsid w:val="005304B2"/>
    <w:rsid w:val="005336BD"/>
    <w:rsid w:val="00534A49"/>
    <w:rsid w:val="005363BB"/>
    <w:rsid w:val="00541B98"/>
    <w:rsid w:val="00543374"/>
    <w:rsid w:val="005434CE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7F9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4D28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44A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CC4"/>
    <w:rsid w:val="006B2D8D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70A"/>
    <w:rsid w:val="00716746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DA8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0B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6B6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D25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D09"/>
    <w:rsid w:val="008F09DF"/>
    <w:rsid w:val="008F187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A5D"/>
    <w:rsid w:val="00915568"/>
    <w:rsid w:val="00917E0C"/>
    <w:rsid w:val="00920711"/>
    <w:rsid w:val="00920C96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07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27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4D5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B05"/>
    <w:rsid w:val="00B1668D"/>
    <w:rsid w:val="00B17981"/>
    <w:rsid w:val="00B233BB"/>
    <w:rsid w:val="00B25612"/>
    <w:rsid w:val="00B26437"/>
    <w:rsid w:val="00B2678E"/>
    <w:rsid w:val="00B30647"/>
    <w:rsid w:val="00B31F0E"/>
    <w:rsid w:val="00B33AC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596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5BE"/>
    <w:rsid w:val="00C91F65"/>
    <w:rsid w:val="00C92310"/>
    <w:rsid w:val="00C9232E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C7EC8"/>
    <w:rsid w:val="00CD06CA"/>
    <w:rsid w:val="00CD076A"/>
    <w:rsid w:val="00CD180C"/>
    <w:rsid w:val="00CD37DA"/>
    <w:rsid w:val="00CD4F2C"/>
    <w:rsid w:val="00CD728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A61"/>
    <w:rsid w:val="00D001B1"/>
    <w:rsid w:val="00D03176"/>
    <w:rsid w:val="00D060A8"/>
    <w:rsid w:val="00D06605"/>
    <w:rsid w:val="00D06DB8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C52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822"/>
    <w:rsid w:val="00DB6CB6"/>
    <w:rsid w:val="00DB758F"/>
    <w:rsid w:val="00DC1F1B"/>
    <w:rsid w:val="00DC2D33"/>
    <w:rsid w:val="00DC3D8F"/>
    <w:rsid w:val="00DC42E8"/>
    <w:rsid w:val="00DC6DBB"/>
    <w:rsid w:val="00DC7761"/>
    <w:rsid w:val="00DD0022"/>
    <w:rsid w:val="00DD073C"/>
    <w:rsid w:val="00DD128C"/>
    <w:rsid w:val="00DD1718"/>
    <w:rsid w:val="00DD1B8F"/>
    <w:rsid w:val="00DD5BCC"/>
    <w:rsid w:val="00DD7509"/>
    <w:rsid w:val="00DD79C7"/>
    <w:rsid w:val="00DD7D6E"/>
    <w:rsid w:val="00DD7F2D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08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2E4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C34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DF6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931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C80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C604E5-6721-443F-A59E-7CA0D2A1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11A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1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1A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1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1A94"/>
    <w:rPr>
      <w:b/>
      <w:bCs/>
    </w:rPr>
  </w:style>
  <w:style w:type="paragraph" w:styleId="Revision">
    <w:name w:val="Revision"/>
    <w:hidden/>
    <w:uiPriority w:val="99"/>
    <w:semiHidden/>
    <w:rsid w:val="00E932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1E1D"/>
    <w:pPr>
      <w:ind w:left="720"/>
      <w:contextualSpacing/>
    </w:pPr>
  </w:style>
  <w:style w:type="character" w:styleId="Hyperlink">
    <w:name w:val="Hyperlink"/>
    <w:basedOn w:val="DefaultParagraphFont"/>
    <w:unhideWhenUsed/>
    <w:rsid w:val="00751D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3017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HB01847 (Committee Report (Substituted))</vt:lpstr>
    </vt:vector>
  </TitlesOfParts>
  <Company>State of Texas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22231</dc:subject>
  <dc:creator>State of Texas</dc:creator>
  <dc:description>HB 1847 by Howard-(H)Public Health (Substitute Document Number: 88R 20783)</dc:description>
  <cp:lastModifiedBy>Stacey Nicchio</cp:lastModifiedBy>
  <cp:revision>2</cp:revision>
  <cp:lastPrinted>2003-11-26T17:21:00Z</cp:lastPrinted>
  <dcterms:created xsi:type="dcterms:W3CDTF">2023-04-13T15:35:00Z</dcterms:created>
  <dcterms:modified xsi:type="dcterms:W3CDTF">2023-04-13T15:35:00Z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23.95.558</vt:lpwstr>
  </property>
</Properties>
</file>