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E4DF4" w14:paraId="095C118B" w14:textId="77777777" w:rsidTr="00345119">
        <w:tc>
          <w:tcPr>
            <w:tcW w:w="9576" w:type="dxa"/>
            <w:noWrap/>
          </w:tcPr>
          <w:p w14:paraId="36EBA66A" w14:textId="77777777" w:rsidR="008423E4" w:rsidRPr="0022177D" w:rsidRDefault="0025029B" w:rsidP="00C76B4E">
            <w:pPr>
              <w:pStyle w:val="Heading1"/>
            </w:pPr>
            <w:r w:rsidRPr="00631897">
              <w:t>BILL ANALYSIS</w:t>
            </w:r>
          </w:p>
        </w:tc>
      </w:tr>
    </w:tbl>
    <w:p w14:paraId="2C19BD97" w14:textId="77777777" w:rsidR="008423E4" w:rsidRPr="0022177D" w:rsidRDefault="008423E4" w:rsidP="00C76B4E">
      <w:pPr>
        <w:jc w:val="center"/>
      </w:pPr>
    </w:p>
    <w:p w14:paraId="728B1741" w14:textId="77777777" w:rsidR="008423E4" w:rsidRPr="00B31F0E" w:rsidRDefault="008423E4" w:rsidP="00C76B4E"/>
    <w:p w14:paraId="5D080ACD" w14:textId="77777777" w:rsidR="008423E4" w:rsidRPr="00742794" w:rsidRDefault="008423E4" w:rsidP="00C76B4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E4DF4" w14:paraId="6701FC6A" w14:textId="77777777" w:rsidTr="00345119">
        <w:tc>
          <w:tcPr>
            <w:tcW w:w="9576" w:type="dxa"/>
          </w:tcPr>
          <w:p w14:paraId="189353C9" w14:textId="300F0B5B" w:rsidR="008423E4" w:rsidRPr="00861995" w:rsidRDefault="0025029B" w:rsidP="00C76B4E">
            <w:pPr>
              <w:jc w:val="right"/>
            </w:pPr>
            <w:r>
              <w:t>H.B. 1855</w:t>
            </w:r>
          </w:p>
        </w:tc>
      </w:tr>
      <w:tr w:rsidR="00AE4DF4" w14:paraId="190F5654" w14:textId="77777777" w:rsidTr="00345119">
        <w:tc>
          <w:tcPr>
            <w:tcW w:w="9576" w:type="dxa"/>
          </w:tcPr>
          <w:p w14:paraId="523D69C4" w14:textId="4BC8905C" w:rsidR="008423E4" w:rsidRPr="00861995" w:rsidRDefault="0025029B" w:rsidP="00C76B4E">
            <w:pPr>
              <w:jc w:val="right"/>
            </w:pPr>
            <w:r>
              <w:t xml:space="preserve">By: </w:t>
            </w:r>
            <w:r w:rsidR="009378DF">
              <w:t>Goodwin</w:t>
            </w:r>
          </w:p>
        </w:tc>
      </w:tr>
      <w:tr w:rsidR="00AE4DF4" w14:paraId="5E33E7C5" w14:textId="77777777" w:rsidTr="00345119">
        <w:tc>
          <w:tcPr>
            <w:tcW w:w="9576" w:type="dxa"/>
          </w:tcPr>
          <w:p w14:paraId="7C6F8AFC" w14:textId="1774C8EC" w:rsidR="008423E4" w:rsidRPr="00861995" w:rsidRDefault="0025029B" w:rsidP="00C76B4E">
            <w:pPr>
              <w:jc w:val="right"/>
            </w:pPr>
            <w:r>
              <w:t>Transportation</w:t>
            </w:r>
          </w:p>
        </w:tc>
      </w:tr>
      <w:tr w:rsidR="00AE4DF4" w14:paraId="68E59B69" w14:textId="77777777" w:rsidTr="00345119">
        <w:tc>
          <w:tcPr>
            <w:tcW w:w="9576" w:type="dxa"/>
          </w:tcPr>
          <w:p w14:paraId="084F6515" w14:textId="59DBB831" w:rsidR="008423E4" w:rsidRDefault="0025029B" w:rsidP="00C76B4E">
            <w:pPr>
              <w:jc w:val="right"/>
            </w:pPr>
            <w:r>
              <w:t>Committee Report (Unamended)</w:t>
            </w:r>
          </w:p>
        </w:tc>
      </w:tr>
    </w:tbl>
    <w:p w14:paraId="4B88019B" w14:textId="77777777" w:rsidR="008423E4" w:rsidRDefault="008423E4" w:rsidP="00C76B4E">
      <w:pPr>
        <w:tabs>
          <w:tab w:val="right" w:pos="9360"/>
        </w:tabs>
      </w:pPr>
    </w:p>
    <w:p w14:paraId="3BB277D1" w14:textId="77777777" w:rsidR="008423E4" w:rsidRDefault="008423E4" w:rsidP="00C76B4E"/>
    <w:p w14:paraId="48AB64F7" w14:textId="77777777" w:rsidR="008423E4" w:rsidRDefault="008423E4" w:rsidP="00C76B4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E4DF4" w14:paraId="456A2C98" w14:textId="77777777" w:rsidTr="00345119">
        <w:tc>
          <w:tcPr>
            <w:tcW w:w="9576" w:type="dxa"/>
          </w:tcPr>
          <w:p w14:paraId="724D41FA" w14:textId="77777777" w:rsidR="008423E4" w:rsidRPr="00A8133F" w:rsidRDefault="0025029B" w:rsidP="00C76B4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8E90364" w14:textId="77777777" w:rsidR="008423E4" w:rsidRDefault="008423E4" w:rsidP="00C76B4E"/>
          <w:p w14:paraId="0D0F063B" w14:textId="1999A24C" w:rsidR="008423E4" w:rsidRDefault="0025029B" w:rsidP="00C76B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9378DF" w:rsidRPr="009378DF">
              <w:t>oncerns have been raised regarding the high incidence of traffic fatalities</w:t>
            </w:r>
            <w:r w:rsidR="001028BD">
              <w:t xml:space="preserve"> across the state</w:t>
            </w:r>
            <w:r>
              <w:t xml:space="preserve">, including by local leaders in House </w:t>
            </w:r>
            <w:r>
              <w:t>District 47</w:t>
            </w:r>
            <w:r w:rsidR="00B375C2">
              <w:t xml:space="preserve"> and the </w:t>
            </w:r>
            <w:r w:rsidR="00B375C2" w:rsidRPr="009378DF">
              <w:t>family and friends of Dr. Bab</w:t>
            </w:r>
            <w:r w:rsidR="00B375C2">
              <w:t>i</w:t>
            </w:r>
            <w:r w:rsidR="00B375C2" w:rsidRPr="009378DF">
              <w:t>neaux</w:t>
            </w:r>
            <w:r w:rsidR="00B375C2">
              <w:t>, who was killed while driving to pick up his son from daycare after</w:t>
            </w:r>
            <w:r w:rsidR="00B375C2" w:rsidRPr="009378DF">
              <w:t xml:space="preserve"> a vehicle veered into the lane of oncoming traffic and collided head-on with</w:t>
            </w:r>
            <w:r w:rsidR="00B375C2">
              <w:t xml:space="preserve"> his vehicle</w:t>
            </w:r>
            <w:r w:rsidR="009378DF" w:rsidRPr="009378DF">
              <w:t>.</w:t>
            </w:r>
            <w:r w:rsidR="009378DF">
              <w:t xml:space="preserve"> According to the Texas Department of Transportation (TxDOT), an average of 10 people die every day in road crashes across the state</w:t>
            </w:r>
            <w:r>
              <w:t>, and t</w:t>
            </w:r>
            <w:r w:rsidR="009378DF">
              <w:t xml:space="preserve">he </w:t>
            </w:r>
            <w:r>
              <w:t>f</w:t>
            </w:r>
            <w:r w:rsidR="009378DF">
              <w:t xml:space="preserve">atality </w:t>
            </w:r>
            <w:r>
              <w:t>r</w:t>
            </w:r>
            <w:r w:rsidR="009378DF">
              <w:t>ate on Texas roadways for 2021 was 1.56 deaths per hundred million vehicle miles traveled</w:t>
            </w:r>
            <w:r>
              <w:t xml:space="preserve">, which was </w:t>
            </w:r>
            <w:r w:rsidR="009378DF">
              <w:t>a 4.17</w:t>
            </w:r>
            <w:r w:rsidR="00217EDA">
              <w:t xml:space="preserve"> percent</w:t>
            </w:r>
            <w:r w:rsidR="009378DF">
              <w:t xml:space="preserve"> increase from 2020. There were no deathless days on Texas roadways in 2021.</w:t>
            </w:r>
            <w:r>
              <w:t xml:space="preserve"> </w:t>
            </w:r>
            <w:r w:rsidR="0049144D">
              <w:t>H</w:t>
            </w:r>
            <w:r>
              <w:t>.</w:t>
            </w:r>
            <w:r w:rsidR="0049144D">
              <w:t>B</w:t>
            </w:r>
            <w:r>
              <w:t>.</w:t>
            </w:r>
            <w:r w:rsidR="0049144D">
              <w:t xml:space="preserve"> 1855</w:t>
            </w:r>
            <w:r w:rsidR="0005345A">
              <w:t xml:space="preserve">, the Dr. </w:t>
            </w:r>
            <w:r w:rsidR="0005345A" w:rsidRPr="0005345A">
              <w:t>Michael James Babineaux Act</w:t>
            </w:r>
            <w:r w:rsidR="0005345A">
              <w:t>,</w:t>
            </w:r>
            <w:r w:rsidR="0049144D">
              <w:t xml:space="preserve"> seeks to improve safety on roads and reduce the number of traffic fatalities in Texas by</w:t>
            </w:r>
            <w:r w:rsidR="00464F5B">
              <w:t xml:space="preserve"> providing for</w:t>
            </w:r>
            <w:r w:rsidR="009378DF">
              <w:t xml:space="preserve"> </w:t>
            </w:r>
            <w:r w:rsidR="00464F5B">
              <w:t xml:space="preserve">the </w:t>
            </w:r>
            <w:r w:rsidR="009378DF">
              <w:t>design</w:t>
            </w:r>
            <w:r w:rsidR="00464F5B">
              <w:t>ation of certain portions of roadway</w:t>
            </w:r>
            <w:r w:rsidR="009378DF">
              <w:t xml:space="preserve"> as highway safety corridor</w:t>
            </w:r>
            <w:r w:rsidR="00F752C3">
              <w:t>s</w:t>
            </w:r>
            <w:r w:rsidR="00BB7145">
              <w:t xml:space="preserve"> and </w:t>
            </w:r>
            <w:r w:rsidR="001F754E">
              <w:t xml:space="preserve">requiring </w:t>
            </w:r>
            <w:r w:rsidR="00B375C2">
              <w:t xml:space="preserve">TxDOT to erect </w:t>
            </w:r>
            <w:r w:rsidR="009378DF">
              <w:t>sign</w:t>
            </w:r>
            <w:r w:rsidR="00BB7145">
              <w:t>s</w:t>
            </w:r>
            <w:r w:rsidR="009378DF">
              <w:t xml:space="preserve"> </w:t>
            </w:r>
            <w:r w:rsidR="00BB7145">
              <w:t>relating to doubled fines at specified points along the</w:t>
            </w:r>
            <w:r w:rsidR="00B375C2">
              <w:t xml:space="preserve"> designated portion of a</w:t>
            </w:r>
            <w:r w:rsidR="00BB7145">
              <w:t xml:space="preserve"> roadway.</w:t>
            </w:r>
          </w:p>
          <w:p w14:paraId="660ABFBA" w14:textId="5484FDF2" w:rsidR="00B44BA1" w:rsidRPr="00E26B13" w:rsidRDefault="00B44BA1" w:rsidP="00C76B4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AE4DF4" w14:paraId="1C1BD201" w14:textId="77777777" w:rsidTr="00345119">
        <w:tc>
          <w:tcPr>
            <w:tcW w:w="9576" w:type="dxa"/>
          </w:tcPr>
          <w:p w14:paraId="153D9DE3" w14:textId="77777777" w:rsidR="0017725B" w:rsidRDefault="0025029B" w:rsidP="00C76B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7DEB8B2" w14:textId="77777777" w:rsidR="0017725B" w:rsidRDefault="0017725B" w:rsidP="00C76B4E">
            <w:pPr>
              <w:rPr>
                <w:b/>
                <w:u w:val="single"/>
              </w:rPr>
            </w:pPr>
          </w:p>
          <w:p w14:paraId="3CBAAEC5" w14:textId="4495DEDC" w:rsidR="005C0913" w:rsidRPr="00B12783" w:rsidRDefault="0025029B" w:rsidP="00C76B4E">
            <w:pPr>
              <w:jc w:val="both"/>
            </w:pPr>
            <w:r>
              <w:t>It is the committee's opinion that this bill expressly does one or more of t</w:t>
            </w:r>
            <w:r>
              <w:t>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2EB97720" w14:textId="77777777" w:rsidR="0017725B" w:rsidRPr="0017725B" w:rsidRDefault="0017725B" w:rsidP="00C76B4E">
            <w:pPr>
              <w:rPr>
                <w:b/>
                <w:u w:val="single"/>
              </w:rPr>
            </w:pPr>
          </w:p>
        </w:tc>
      </w:tr>
      <w:tr w:rsidR="00AE4DF4" w14:paraId="0ECBB63C" w14:textId="77777777" w:rsidTr="00345119">
        <w:tc>
          <w:tcPr>
            <w:tcW w:w="9576" w:type="dxa"/>
          </w:tcPr>
          <w:p w14:paraId="72543FDC" w14:textId="77777777" w:rsidR="008423E4" w:rsidRPr="00A8133F" w:rsidRDefault="0025029B" w:rsidP="00C76B4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22D069" w14:textId="77777777" w:rsidR="008423E4" w:rsidRDefault="008423E4" w:rsidP="00C76B4E"/>
          <w:p w14:paraId="674C4B54" w14:textId="08CC2929" w:rsidR="00B12783" w:rsidRDefault="0025029B" w:rsidP="00C76B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 xml:space="preserve">the committee's opinion that rulemaking authority is expressly granted to the Texas Department of Transportation in </w:t>
            </w:r>
            <w:r w:rsidRPr="00B12783">
              <w:t>SECTION 2</w:t>
            </w:r>
            <w:r>
              <w:t xml:space="preserve"> of this bill.</w:t>
            </w:r>
          </w:p>
          <w:p w14:paraId="3D8412A2" w14:textId="77777777" w:rsidR="008423E4" w:rsidRPr="00E21FDC" w:rsidRDefault="008423E4" w:rsidP="00C76B4E">
            <w:pPr>
              <w:rPr>
                <w:b/>
              </w:rPr>
            </w:pPr>
          </w:p>
        </w:tc>
      </w:tr>
      <w:tr w:rsidR="00AE4DF4" w14:paraId="241AF634" w14:textId="77777777" w:rsidTr="00345119">
        <w:tc>
          <w:tcPr>
            <w:tcW w:w="9576" w:type="dxa"/>
          </w:tcPr>
          <w:p w14:paraId="381AC60F" w14:textId="77777777" w:rsidR="008423E4" w:rsidRPr="00A8133F" w:rsidRDefault="0025029B" w:rsidP="00C76B4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2CF201" w14:textId="77777777" w:rsidR="008423E4" w:rsidRDefault="008423E4" w:rsidP="00C76B4E"/>
          <w:p w14:paraId="5F20EE4E" w14:textId="69D4926E" w:rsidR="00B12783" w:rsidRDefault="0025029B" w:rsidP="00C76B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1855 amends the Transportation Code to </w:t>
            </w:r>
            <w:r w:rsidR="00630514">
              <w:t xml:space="preserve">authorize </w:t>
            </w:r>
            <w:r>
              <w:t xml:space="preserve">the </w:t>
            </w:r>
            <w:r w:rsidRPr="00B12783">
              <w:t xml:space="preserve">Texas Department of Transportation </w:t>
            </w:r>
            <w:r w:rsidR="00BD35F7" w:rsidRPr="00BD35F7">
              <w:t>(TxDOT)</w:t>
            </w:r>
            <w:r w:rsidR="00BD35F7">
              <w:t xml:space="preserve"> </w:t>
            </w:r>
            <w:r>
              <w:t xml:space="preserve">to </w:t>
            </w:r>
            <w:r w:rsidRPr="00B12783">
              <w:t>designate as a highway safety corridor a portion of a roadway containing a site with a high number of traffic accidents that lead to a serious injury or fatality as identified by</w:t>
            </w:r>
            <w:r w:rsidR="00630514">
              <w:t xml:space="preserve"> TxDOT and to remove such a designation at </w:t>
            </w:r>
            <w:r w:rsidR="00791DDD">
              <w:t>its</w:t>
            </w:r>
            <w:r w:rsidR="00630514">
              <w:t xml:space="preserve"> discretion. However, the bill requires TxDOT to make the designation if </w:t>
            </w:r>
            <w:r w:rsidR="000F3AC9">
              <w:t>a</w:t>
            </w:r>
            <w:r w:rsidR="000F3AC9" w:rsidRPr="00B12783">
              <w:t xml:space="preserve"> </w:t>
            </w:r>
            <w:r w:rsidRPr="00B12783">
              <w:t>governing body of a municipality or county</w:t>
            </w:r>
            <w:r w:rsidR="000F3AC9">
              <w:t xml:space="preserve"> identifies a portion of a roadway containing such a site and the site is located within the</w:t>
            </w:r>
            <w:r w:rsidRPr="00B12783">
              <w:t xml:space="preserve"> jurisdiction</w:t>
            </w:r>
            <w:r w:rsidR="000F3AC9">
              <w:t xml:space="preserve"> of the municipality or county</w:t>
            </w:r>
            <w:r w:rsidRPr="00B12783">
              <w:t>.</w:t>
            </w:r>
            <w:r w:rsidR="00BD35F7">
              <w:t xml:space="preserve"> The bill requires </w:t>
            </w:r>
            <w:r w:rsidR="00BD35F7" w:rsidRPr="00BD35F7">
              <w:t>TxDOT</w:t>
            </w:r>
            <w:r w:rsidR="00BD35F7">
              <w:t xml:space="preserve"> to </w:t>
            </w:r>
            <w:r w:rsidR="00BD35F7" w:rsidRPr="00BD35F7">
              <w:t xml:space="preserve">remove </w:t>
            </w:r>
            <w:r w:rsidR="00AB7990">
              <w:t>the</w:t>
            </w:r>
            <w:r w:rsidR="00BD35F7" w:rsidRPr="00BD35F7">
              <w:t xml:space="preserve"> designation on the 10th anniversary of the designation unless </w:t>
            </w:r>
            <w:r w:rsidR="00163B59">
              <w:t xml:space="preserve">the </w:t>
            </w:r>
            <w:r w:rsidR="00BD35F7" w:rsidRPr="00BD35F7">
              <w:t xml:space="preserve">governing body that identified the site notifies TxDOT that the designation should be removed before or extended after that date. </w:t>
            </w:r>
            <w:r w:rsidR="00BF6E69">
              <w:t>E</w:t>
            </w:r>
            <w:r w:rsidR="00BD35F7" w:rsidRPr="00BD35F7">
              <w:t>ach designation extension period</w:t>
            </w:r>
            <w:r w:rsidR="00BF6E69">
              <w:t xml:space="preserve"> must</w:t>
            </w:r>
            <w:r w:rsidR="00BD35F7" w:rsidRPr="00BD35F7">
              <w:t xml:space="preserve"> </w:t>
            </w:r>
            <w:r w:rsidR="00501078">
              <w:t>be for</w:t>
            </w:r>
            <w:r w:rsidR="00BD35F7" w:rsidRPr="00BD35F7">
              <w:t xml:space="preserve"> 10 years unless a shorter period is requested by the governing body</w:t>
            </w:r>
            <w:r w:rsidR="00630514">
              <w:t xml:space="preserve"> and may be removed or extended for an initial designation</w:t>
            </w:r>
            <w:r w:rsidR="00501078">
              <w:t>.</w:t>
            </w:r>
          </w:p>
          <w:p w14:paraId="7F21C449" w14:textId="4D742997" w:rsidR="00BD35F7" w:rsidRDefault="00BD35F7" w:rsidP="00C76B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ECF1370" w14:textId="3B391548" w:rsidR="00FC5B31" w:rsidRDefault="0025029B" w:rsidP="00C76B4E">
            <w:pPr>
              <w:pStyle w:val="Header"/>
              <w:jc w:val="both"/>
            </w:pPr>
            <w:r>
              <w:t xml:space="preserve">H.B. 1855 requires </w:t>
            </w:r>
            <w:r w:rsidRPr="00BD35F7">
              <w:t>TxDOT</w:t>
            </w:r>
            <w:r>
              <w:t xml:space="preserve"> to erect a sign at each end of </w:t>
            </w:r>
            <w:r w:rsidR="00B7591B">
              <w:t>the</w:t>
            </w:r>
            <w:r>
              <w:t xml:space="preserve"> designated portion of a roadway and at appropriate intermediate sites along the roadway indicating that the roadway is a highway safety corridor </w:t>
            </w:r>
            <w:r w:rsidR="002747E5">
              <w:t>stating</w:t>
            </w:r>
            <w:r w:rsidR="00B7591B">
              <w:t xml:space="preserve"> </w:t>
            </w:r>
            <w:r w:rsidR="00163B59">
              <w:t>"Fines double: highway safety corridor</w:t>
            </w:r>
            <w:r>
              <w:t>.</w:t>
            </w:r>
            <w:r w:rsidR="00163B59">
              <w:t>"</w:t>
            </w:r>
            <w:r w:rsidR="002747E5">
              <w:t xml:space="preserve"> </w:t>
            </w:r>
            <w:r>
              <w:t xml:space="preserve">The bill authorizes TxDOT by rule to </w:t>
            </w:r>
            <w:r w:rsidRPr="00FC5B31">
              <w:t xml:space="preserve">prescribe forms </w:t>
            </w:r>
            <w:r>
              <w:t>to be</w:t>
            </w:r>
            <w:r w:rsidRPr="00FC5B31">
              <w:t xml:space="preserve"> use</w:t>
            </w:r>
            <w:r>
              <w:t>d</w:t>
            </w:r>
            <w:r w:rsidRPr="00FC5B31">
              <w:t xml:space="preserve"> by a </w:t>
            </w:r>
            <w:r>
              <w:t>municipality or county</w:t>
            </w:r>
            <w:r w:rsidRPr="00FC5B31">
              <w:t xml:space="preserve"> for the</w:t>
            </w:r>
            <w:r>
              <w:t xml:space="preserve"> </w:t>
            </w:r>
            <w:r w:rsidRPr="00FC5B31">
              <w:t>highway safety corridor designation and the removal or extension of</w:t>
            </w:r>
            <w:r>
              <w:t xml:space="preserve"> the </w:t>
            </w:r>
            <w:r w:rsidRPr="00FC5B31">
              <w:t>designation</w:t>
            </w:r>
            <w:r>
              <w:t>.</w:t>
            </w:r>
            <w:r w:rsidR="00A14CF7">
              <w:t xml:space="preserve"> </w:t>
            </w:r>
            <w:r w:rsidR="00A14CF7" w:rsidRPr="00A14CF7">
              <w:t>The bill authorizes TxDOT to distribute literature to the public concerning designated highway safety corridors.</w:t>
            </w:r>
          </w:p>
          <w:p w14:paraId="6BCF73F1" w14:textId="77777777" w:rsidR="00FC5B31" w:rsidRDefault="00FC5B31" w:rsidP="00C76B4E">
            <w:pPr>
              <w:pStyle w:val="Header"/>
              <w:jc w:val="both"/>
            </w:pPr>
          </w:p>
          <w:p w14:paraId="3AE4A848" w14:textId="69673814" w:rsidR="00BD35F7" w:rsidRDefault="0025029B" w:rsidP="00C76B4E">
            <w:pPr>
              <w:pStyle w:val="Header"/>
              <w:jc w:val="both"/>
            </w:pPr>
            <w:r>
              <w:t>H.B. 1855</w:t>
            </w:r>
            <w:r w:rsidR="002747E5">
              <w:t xml:space="preserve"> </w:t>
            </w:r>
            <w:r w:rsidR="002747E5" w:rsidRPr="002747E5">
              <w:t>establishes that if a</w:t>
            </w:r>
            <w:r w:rsidR="00904DED">
              <w:t xml:space="preserve"> rules of the road</w:t>
            </w:r>
            <w:r w:rsidR="002747E5" w:rsidRPr="002747E5">
              <w:t xml:space="preserve"> offense is committed in a highway safety corridor, the minimum and maximum fines applicable to the offense </w:t>
            </w:r>
            <w:r w:rsidR="00A14CF7">
              <w:t>are</w:t>
            </w:r>
            <w:r w:rsidR="002747E5" w:rsidRPr="002747E5">
              <w:t xml:space="preserve"> twice the applicable fines </w:t>
            </w:r>
            <w:r w:rsidR="00A14CF7">
              <w:t>for</w:t>
            </w:r>
            <w:r w:rsidR="002747E5" w:rsidRPr="002747E5">
              <w:t xml:space="preserve"> the offense </w:t>
            </w:r>
            <w:r w:rsidR="00904DED">
              <w:t xml:space="preserve">if </w:t>
            </w:r>
            <w:r w:rsidR="002747E5" w:rsidRPr="002747E5">
              <w:t>committed outside the highway safety corridor.</w:t>
            </w:r>
            <w:r w:rsidR="00904DED">
              <w:t xml:space="preserve"> The bill exempts from this provision </w:t>
            </w:r>
            <w:r w:rsidR="00904DED" w:rsidRPr="002747E5">
              <w:t xml:space="preserve">an offense </w:t>
            </w:r>
            <w:r w:rsidR="00904DED">
              <w:t>under statutory provisions relating to the</w:t>
            </w:r>
            <w:r w:rsidR="00904DED" w:rsidRPr="002747E5">
              <w:t xml:space="preserve"> compulsory inspection of vehicles</w:t>
            </w:r>
            <w:r w:rsidR="00904DED">
              <w:t>,</w:t>
            </w:r>
            <w:r w:rsidR="00904DED" w:rsidRPr="002747E5">
              <w:t xml:space="preserve"> pedestrians, child passenger safety</w:t>
            </w:r>
            <w:r w:rsidR="00904DED">
              <w:t xml:space="preserve"> </w:t>
            </w:r>
            <w:r w:rsidR="006C03BB">
              <w:t xml:space="preserve">seat </w:t>
            </w:r>
            <w:r w:rsidR="00904DED">
              <w:t>systems</w:t>
            </w:r>
            <w:r w:rsidR="00904DED" w:rsidRPr="002747E5">
              <w:t xml:space="preserve">, or </w:t>
            </w:r>
            <w:r w:rsidR="006C03BB">
              <w:t>safety</w:t>
            </w:r>
            <w:r w:rsidR="006C03BB" w:rsidRPr="002747E5">
              <w:t xml:space="preserve"> </w:t>
            </w:r>
            <w:r w:rsidR="00904DED" w:rsidRPr="002747E5">
              <w:t>belt</w:t>
            </w:r>
            <w:r w:rsidR="00904DED">
              <w:t>s.</w:t>
            </w:r>
          </w:p>
          <w:p w14:paraId="29AC53FB" w14:textId="531E83CC" w:rsidR="00B12783" w:rsidRDefault="00B12783" w:rsidP="00C76B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4B30B1D" w14:textId="37DF4B8E" w:rsidR="00B12783" w:rsidRPr="009C36CD" w:rsidRDefault="0025029B" w:rsidP="00C76B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1855 </w:t>
            </w:r>
            <w:r w:rsidRPr="00B12783">
              <w:t xml:space="preserve">applies only to an offense committed on or after the </w:t>
            </w:r>
            <w:r w:rsidR="006C03BB">
              <w:t xml:space="preserve">bill's </w:t>
            </w:r>
            <w:r w:rsidRPr="00B12783">
              <w:t>effective date</w:t>
            </w:r>
            <w:r>
              <w:t>.</w:t>
            </w:r>
            <w:r w:rsidR="006C03BB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69A96F2D" w14:textId="77777777" w:rsidR="008423E4" w:rsidRPr="00835628" w:rsidRDefault="008423E4" w:rsidP="00C76B4E">
            <w:pPr>
              <w:rPr>
                <w:b/>
              </w:rPr>
            </w:pPr>
          </w:p>
        </w:tc>
      </w:tr>
      <w:tr w:rsidR="00AE4DF4" w14:paraId="2C575BB1" w14:textId="77777777" w:rsidTr="00345119">
        <w:tc>
          <w:tcPr>
            <w:tcW w:w="9576" w:type="dxa"/>
          </w:tcPr>
          <w:p w14:paraId="5AB0B44C" w14:textId="77777777" w:rsidR="00B12783" w:rsidRDefault="0025029B" w:rsidP="00C76B4E">
            <w:pPr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EFFECTIVE DATE</w:t>
            </w:r>
          </w:p>
          <w:p w14:paraId="032558BC" w14:textId="77777777" w:rsidR="00B12783" w:rsidRDefault="00B12783" w:rsidP="00C76B4E">
            <w:pPr>
              <w:rPr>
                <w:b/>
                <w:u w:val="single"/>
              </w:rPr>
            </w:pPr>
          </w:p>
          <w:p w14:paraId="635EABC5" w14:textId="2D5801AA" w:rsidR="00A14CF7" w:rsidRDefault="0025029B" w:rsidP="00C76B4E">
            <w:pPr>
              <w:rPr>
                <w:bCs/>
              </w:rPr>
            </w:pPr>
            <w:r w:rsidRPr="00B12783">
              <w:rPr>
                <w:bCs/>
              </w:rPr>
              <w:t>On passage, or, if the bill does not receive the necessary vote, September 1, 2023.</w:t>
            </w:r>
            <w:r w:rsidR="008423E4" w:rsidRPr="00B12783">
              <w:rPr>
                <w:bCs/>
              </w:rPr>
              <w:t xml:space="preserve"> </w:t>
            </w:r>
          </w:p>
          <w:p w14:paraId="0FD36159" w14:textId="77777777" w:rsidR="008423E4" w:rsidRPr="003624F2" w:rsidRDefault="008423E4" w:rsidP="00C76B4E"/>
          <w:p w14:paraId="3B4A4C21" w14:textId="77777777" w:rsidR="008423E4" w:rsidRPr="00233FDB" w:rsidRDefault="008423E4" w:rsidP="00C76B4E">
            <w:pPr>
              <w:rPr>
                <w:b/>
              </w:rPr>
            </w:pPr>
          </w:p>
        </w:tc>
      </w:tr>
    </w:tbl>
    <w:p w14:paraId="2E6556A4" w14:textId="77777777" w:rsidR="008423E4" w:rsidRPr="00BE0E75" w:rsidRDefault="008423E4" w:rsidP="00C76B4E">
      <w:pPr>
        <w:jc w:val="both"/>
        <w:rPr>
          <w:rFonts w:ascii="Arial" w:hAnsi="Arial"/>
          <w:sz w:val="16"/>
          <w:szCs w:val="16"/>
        </w:rPr>
      </w:pPr>
    </w:p>
    <w:p w14:paraId="00B9940B" w14:textId="77777777" w:rsidR="004108C3" w:rsidRPr="008423E4" w:rsidRDefault="004108C3" w:rsidP="00C76B4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955A" w14:textId="77777777" w:rsidR="00000000" w:rsidRDefault="0025029B">
      <w:r>
        <w:separator/>
      </w:r>
    </w:p>
  </w:endnote>
  <w:endnote w:type="continuationSeparator" w:id="0">
    <w:p w14:paraId="12D511EC" w14:textId="77777777" w:rsidR="00000000" w:rsidRDefault="0025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572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E4DF4" w14:paraId="0D9FDAEB" w14:textId="77777777" w:rsidTr="009C1E9A">
      <w:trPr>
        <w:cantSplit/>
      </w:trPr>
      <w:tc>
        <w:tcPr>
          <w:tcW w:w="0" w:type="pct"/>
        </w:tcPr>
        <w:p w14:paraId="7D8747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D99F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CC5F4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6F6D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8C4B6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4DF4" w14:paraId="1429C8A3" w14:textId="77777777" w:rsidTr="009C1E9A">
      <w:trPr>
        <w:cantSplit/>
      </w:trPr>
      <w:tc>
        <w:tcPr>
          <w:tcW w:w="0" w:type="pct"/>
        </w:tcPr>
        <w:p w14:paraId="489E30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7B0E0E0" w14:textId="2789B0F1" w:rsidR="00EC379B" w:rsidRPr="009C1E9A" w:rsidRDefault="0025029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24855-D</w:t>
          </w:r>
        </w:p>
      </w:tc>
      <w:tc>
        <w:tcPr>
          <w:tcW w:w="2453" w:type="pct"/>
        </w:tcPr>
        <w:p w14:paraId="57AFF3D3" w14:textId="35F40F82" w:rsidR="00EC379B" w:rsidRDefault="002502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C4E4B">
            <w:t>23.111.1032</w:t>
          </w:r>
          <w:r>
            <w:fldChar w:fldCharType="end"/>
          </w:r>
        </w:p>
      </w:tc>
    </w:tr>
    <w:tr w:rsidR="00AE4DF4" w14:paraId="5702A73D" w14:textId="77777777" w:rsidTr="009C1E9A">
      <w:trPr>
        <w:cantSplit/>
      </w:trPr>
      <w:tc>
        <w:tcPr>
          <w:tcW w:w="0" w:type="pct"/>
        </w:tcPr>
        <w:p w14:paraId="2202C6A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8C637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7D0A1C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DBF9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E4DF4" w14:paraId="46F2060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BD6AE66" w14:textId="77777777" w:rsidR="00EC379B" w:rsidRDefault="0025029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ED2D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DDD173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ACD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91D8" w14:textId="77777777" w:rsidR="00000000" w:rsidRDefault="0025029B">
      <w:r>
        <w:separator/>
      </w:r>
    </w:p>
  </w:footnote>
  <w:footnote w:type="continuationSeparator" w:id="0">
    <w:p w14:paraId="55E1AA20" w14:textId="77777777" w:rsidR="00000000" w:rsidRDefault="0025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0A0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334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3B4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354D"/>
    <w:multiLevelType w:val="hybridMultilevel"/>
    <w:tmpl w:val="FC8C5174"/>
    <w:lvl w:ilvl="0" w:tplc="7C62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EB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8F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6D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AC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20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4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20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A8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15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83"/>
    <w:rsid w:val="00000A70"/>
    <w:rsid w:val="000032B8"/>
    <w:rsid w:val="00003B06"/>
    <w:rsid w:val="000054B9"/>
    <w:rsid w:val="00007461"/>
    <w:rsid w:val="0001117E"/>
    <w:rsid w:val="0001125F"/>
    <w:rsid w:val="00013190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45A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AC9"/>
    <w:rsid w:val="000F3DBD"/>
    <w:rsid w:val="000F5843"/>
    <w:rsid w:val="000F6A06"/>
    <w:rsid w:val="0010154D"/>
    <w:rsid w:val="001028B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B59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54E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17EDA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29B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7E5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E4B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F5B"/>
    <w:rsid w:val="00474927"/>
    <w:rsid w:val="00475913"/>
    <w:rsid w:val="00480080"/>
    <w:rsid w:val="004824A7"/>
    <w:rsid w:val="00483AF0"/>
    <w:rsid w:val="00484167"/>
    <w:rsid w:val="0049144D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078"/>
    <w:rsid w:val="005017AC"/>
    <w:rsid w:val="00501E8A"/>
    <w:rsid w:val="005041B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454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0913"/>
    <w:rsid w:val="005C1496"/>
    <w:rsid w:val="005C17C5"/>
    <w:rsid w:val="005C2B21"/>
    <w:rsid w:val="005C2C00"/>
    <w:rsid w:val="005C47D1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1B8"/>
    <w:rsid w:val="00617411"/>
    <w:rsid w:val="006249CB"/>
    <w:rsid w:val="006272DD"/>
    <w:rsid w:val="00630514"/>
    <w:rsid w:val="00630963"/>
    <w:rsid w:val="00631897"/>
    <w:rsid w:val="00632928"/>
    <w:rsid w:val="006330DA"/>
    <w:rsid w:val="00633262"/>
    <w:rsid w:val="00633460"/>
    <w:rsid w:val="006402E7"/>
    <w:rsid w:val="00640CB6"/>
    <w:rsid w:val="006413AA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107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3BB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F51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A4F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DDD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3EA6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358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DED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378DF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CF7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990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DF4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783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5C2"/>
    <w:rsid w:val="00B43672"/>
    <w:rsid w:val="00B44BA1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91B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145"/>
    <w:rsid w:val="00BC027B"/>
    <w:rsid w:val="00BC239F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5F7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E69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D59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B4E"/>
    <w:rsid w:val="00C76DFF"/>
    <w:rsid w:val="00C80B8F"/>
    <w:rsid w:val="00C82743"/>
    <w:rsid w:val="00C834CE"/>
    <w:rsid w:val="00C9047F"/>
    <w:rsid w:val="00C91B1E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4E82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2C3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F98"/>
    <w:rsid w:val="00FB73AE"/>
    <w:rsid w:val="00FC5388"/>
    <w:rsid w:val="00FC5B31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FDA82C-126E-4180-8706-5BE0A649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1278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2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27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783"/>
    <w:rPr>
      <w:b/>
      <w:bCs/>
    </w:rPr>
  </w:style>
  <w:style w:type="paragraph" w:styleId="Revision">
    <w:name w:val="Revision"/>
    <w:hidden/>
    <w:uiPriority w:val="99"/>
    <w:semiHidden/>
    <w:rsid w:val="00AB7990"/>
    <w:rPr>
      <w:sz w:val="24"/>
      <w:szCs w:val="24"/>
    </w:rPr>
  </w:style>
  <w:style w:type="character" w:styleId="Hyperlink">
    <w:name w:val="Hyperlink"/>
    <w:basedOn w:val="DefaultParagraphFont"/>
    <w:unhideWhenUsed/>
    <w:rsid w:val="008C23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3349</Characters>
  <Application>Microsoft Office Word</Application>
  <DocSecurity>4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HB01855 (Committee Report (Unamended))</vt:lpstr>
    </vt:vector>
  </TitlesOfParts>
  <Company>State of Texas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24855</dc:subject>
  <dc:creator>State of Texas</dc:creator>
  <dc:description>HB 1855 by Goodwin-(H)Transportation</dc:description>
  <cp:lastModifiedBy>Damian Duarte</cp:lastModifiedBy>
  <cp:revision>2</cp:revision>
  <cp:lastPrinted>2003-11-26T17:21:00Z</cp:lastPrinted>
  <dcterms:created xsi:type="dcterms:W3CDTF">2023-04-25T23:26:00Z</dcterms:created>
  <dcterms:modified xsi:type="dcterms:W3CDTF">2023-04-25T23:26:00Z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23.111.1032</vt:lpwstr>
  </property>
</Properties>
</file>