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F034C" w14:paraId="0505C549" w14:textId="77777777" w:rsidTr="00345119">
        <w:tc>
          <w:tcPr>
            <w:tcW w:w="9576" w:type="dxa"/>
            <w:noWrap/>
          </w:tcPr>
          <w:p w14:paraId="247DB141" w14:textId="77777777" w:rsidR="008423E4" w:rsidRPr="0022177D" w:rsidRDefault="00EA03EB" w:rsidP="008C0A98">
            <w:pPr>
              <w:pStyle w:val="Heading1"/>
            </w:pPr>
            <w:r w:rsidRPr="00631897">
              <w:t>BILL ANALYSIS</w:t>
            </w:r>
          </w:p>
        </w:tc>
      </w:tr>
    </w:tbl>
    <w:p w14:paraId="496E3D9D" w14:textId="77777777" w:rsidR="008423E4" w:rsidRPr="0022177D" w:rsidRDefault="008423E4" w:rsidP="008C0A98">
      <w:pPr>
        <w:jc w:val="center"/>
      </w:pPr>
    </w:p>
    <w:p w14:paraId="253E7D70" w14:textId="77777777" w:rsidR="008423E4" w:rsidRPr="00B31F0E" w:rsidRDefault="008423E4" w:rsidP="008C0A98"/>
    <w:p w14:paraId="695EFD83" w14:textId="77777777" w:rsidR="008423E4" w:rsidRPr="00742794" w:rsidRDefault="008423E4" w:rsidP="008C0A9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F034C" w14:paraId="6C40EB50" w14:textId="77777777" w:rsidTr="00345119">
        <w:tc>
          <w:tcPr>
            <w:tcW w:w="9576" w:type="dxa"/>
          </w:tcPr>
          <w:p w14:paraId="7C3083E5" w14:textId="5266FD80" w:rsidR="008423E4" w:rsidRPr="00861995" w:rsidRDefault="00EA03EB" w:rsidP="008C0A98">
            <w:pPr>
              <w:jc w:val="right"/>
            </w:pPr>
            <w:r>
              <w:t>H.B. 1956</w:t>
            </w:r>
          </w:p>
        </w:tc>
      </w:tr>
      <w:tr w:rsidR="001F034C" w14:paraId="697876B9" w14:textId="77777777" w:rsidTr="00345119">
        <w:tc>
          <w:tcPr>
            <w:tcW w:w="9576" w:type="dxa"/>
          </w:tcPr>
          <w:p w14:paraId="11905779" w14:textId="17587C1C" w:rsidR="008423E4" w:rsidRPr="00861995" w:rsidRDefault="00EA03EB" w:rsidP="008C0A98">
            <w:pPr>
              <w:jc w:val="right"/>
            </w:pPr>
            <w:r>
              <w:t xml:space="preserve">By: </w:t>
            </w:r>
            <w:r w:rsidR="00B374FE">
              <w:t>Geren</w:t>
            </w:r>
          </w:p>
        </w:tc>
      </w:tr>
      <w:tr w:rsidR="001F034C" w14:paraId="4D5285D7" w14:textId="77777777" w:rsidTr="00345119">
        <w:tc>
          <w:tcPr>
            <w:tcW w:w="9576" w:type="dxa"/>
          </w:tcPr>
          <w:p w14:paraId="4D6F9922" w14:textId="6564A896" w:rsidR="008423E4" w:rsidRPr="00861995" w:rsidRDefault="00EA03EB" w:rsidP="008C0A98">
            <w:pPr>
              <w:jc w:val="right"/>
            </w:pPr>
            <w:r>
              <w:t>Ways &amp; Means</w:t>
            </w:r>
          </w:p>
        </w:tc>
      </w:tr>
      <w:tr w:rsidR="001F034C" w14:paraId="0B0B6D51" w14:textId="77777777" w:rsidTr="00345119">
        <w:tc>
          <w:tcPr>
            <w:tcW w:w="9576" w:type="dxa"/>
          </w:tcPr>
          <w:p w14:paraId="71E576CC" w14:textId="763B9629" w:rsidR="008423E4" w:rsidRDefault="00EA03EB" w:rsidP="008C0A98">
            <w:pPr>
              <w:jc w:val="right"/>
            </w:pPr>
            <w:r>
              <w:t>Committee Report (Unamended)</w:t>
            </w:r>
          </w:p>
        </w:tc>
      </w:tr>
    </w:tbl>
    <w:p w14:paraId="506D83FB" w14:textId="77777777" w:rsidR="008423E4" w:rsidRDefault="008423E4" w:rsidP="008C0A98">
      <w:pPr>
        <w:tabs>
          <w:tab w:val="right" w:pos="9360"/>
        </w:tabs>
      </w:pPr>
    </w:p>
    <w:p w14:paraId="146D1FEF" w14:textId="77777777" w:rsidR="008423E4" w:rsidRDefault="008423E4" w:rsidP="008C0A98"/>
    <w:p w14:paraId="396ECEF2" w14:textId="77777777" w:rsidR="008423E4" w:rsidRDefault="008423E4" w:rsidP="008C0A9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F034C" w14:paraId="2DA215A4" w14:textId="77777777" w:rsidTr="00345119">
        <w:tc>
          <w:tcPr>
            <w:tcW w:w="9576" w:type="dxa"/>
          </w:tcPr>
          <w:p w14:paraId="6B05D973" w14:textId="77777777" w:rsidR="008423E4" w:rsidRPr="00A8133F" w:rsidRDefault="00EA03EB" w:rsidP="008C0A9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A74122D" w14:textId="77777777" w:rsidR="008423E4" w:rsidRDefault="008423E4" w:rsidP="008C0A98"/>
          <w:p w14:paraId="31EA3CDD" w14:textId="76887120" w:rsidR="008423E4" w:rsidRDefault="00EA03EB" w:rsidP="008C0A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Current law limits the amount of attorney fees </w:t>
            </w:r>
            <w:r w:rsidR="008456D2">
              <w:t>that</w:t>
            </w:r>
            <w:r>
              <w:t xml:space="preserve"> a prevailing property owner may recover </w:t>
            </w:r>
            <w:r w:rsidR="008456D2">
              <w:t xml:space="preserve">from </w:t>
            </w:r>
            <w:r>
              <w:t>appraisal districts</w:t>
            </w:r>
            <w:r w:rsidR="008456D2">
              <w:t xml:space="preserve"> after judicial review of certain property tax determinations</w:t>
            </w:r>
            <w:r>
              <w:t xml:space="preserve">. </w:t>
            </w:r>
            <w:r w:rsidR="008456D2">
              <w:t>H</w:t>
            </w:r>
            <w:r>
              <w:t>omeowner</w:t>
            </w:r>
            <w:r w:rsidR="008456D2">
              <w:t>s are often unable</w:t>
            </w:r>
            <w:r>
              <w:t xml:space="preserve"> to recover sufficient attorney fees to </w:t>
            </w:r>
            <w:r w:rsidR="008456D2">
              <w:t>cover the cost of</w:t>
            </w:r>
            <w:r>
              <w:t xml:space="preserve"> hir</w:t>
            </w:r>
            <w:r w:rsidR="008456D2">
              <w:t>ing</w:t>
            </w:r>
            <w:r>
              <w:t xml:space="preserve"> counsel</w:t>
            </w:r>
            <w:r w:rsidR="008456D2">
              <w:t>, which precludes</w:t>
            </w:r>
            <w:r>
              <w:t xml:space="preserve"> the average property owner </w:t>
            </w:r>
            <w:r w:rsidR="008456D2">
              <w:t>from</w:t>
            </w:r>
            <w:r>
              <w:t xml:space="preserve"> contest</w:t>
            </w:r>
            <w:r w:rsidR="008456D2">
              <w:t>ing</w:t>
            </w:r>
            <w:r>
              <w:t xml:space="preserve"> property tax appraisals on their </w:t>
            </w:r>
            <w:r>
              <w:t>homestead beyond the</w:t>
            </w:r>
            <w:r w:rsidR="008456D2">
              <w:t xml:space="preserve"> applicable</w:t>
            </w:r>
            <w:r>
              <w:t xml:space="preserve"> </w:t>
            </w:r>
            <w:r w:rsidR="00EF4736">
              <w:t>a</w:t>
            </w:r>
            <w:r>
              <w:t xml:space="preserve">ppraisal </w:t>
            </w:r>
            <w:r w:rsidR="00EF4736">
              <w:t>r</w:t>
            </w:r>
            <w:r>
              <w:t xml:space="preserve">eview </w:t>
            </w:r>
            <w:r w:rsidR="00EF4736">
              <w:t>b</w:t>
            </w:r>
            <w:r>
              <w:t>oard</w:t>
            </w:r>
            <w:r w:rsidR="008456D2">
              <w:t xml:space="preserve"> (ARB),</w:t>
            </w:r>
            <w:r>
              <w:t xml:space="preserve"> which typically side</w:t>
            </w:r>
            <w:r w:rsidR="008456D2">
              <w:t>s</w:t>
            </w:r>
            <w:r>
              <w:t xml:space="preserve"> with the appraisal districts which they serve. </w:t>
            </w:r>
            <w:r w:rsidR="008456D2">
              <w:t>H.B. 1</w:t>
            </w:r>
            <w:r w:rsidR="00135B1B">
              <w:t>9</w:t>
            </w:r>
            <w:r w:rsidR="008456D2">
              <w:t>56 seeks to</w:t>
            </w:r>
            <w:r>
              <w:t xml:space="preserve"> allow a reasonable amount of attorney fees to be recovered by a homeowner who successfully challenges thei</w:t>
            </w:r>
            <w:r>
              <w:t>r home appraisal in an appeal of an ARB order determining their administrative protest</w:t>
            </w:r>
            <w:r w:rsidR="00ED1E6B">
              <w:t xml:space="preserve">, which will </w:t>
            </w:r>
            <w:r>
              <w:t xml:space="preserve">allow a successful property owner to employ a competent attorney to file and prosecute a dispute over the values of </w:t>
            </w:r>
            <w:r w:rsidR="00ED1E6B">
              <w:t xml:space="preserve">the </w:t>
            </w:r>
            <w:r>
              <w:t xml:space="preserve">homeowner's property. </w:t>
            </w:r>
            <w:r w:rsidR="00EF4736">
              <w:t>Ideally, t</w:t>
            </w:r>
            <w:r w:rsidR="00ED1E6B">
              <w:t xml:space="preserve">he bill </w:t>
            </w:r>
            <w:r>
              <w:t xml:space="preserve">would </w:t>
            </w:r>
            <w:r w:rsidR="00EF4736">
              <w:t xml:space="preserve">also </w:t>
            </w:r>
            <w:r>
              <w:t xml:space="preserve">have the desirable effect of causing appraisal districts to carefully consider appraisals of homes and to pay </w:t>
            </w:r>
            <w:r w:rsidR="00ED1E6B">
              <w:t xml:space="preserve">closer </w:t>
            </w:r>
            <w:r>
              <w:t>attention to property owners' protests.</w:t>
            </w:r>
          </w:p>
          <w:p w14:paraId="022DAF13" w14:textId="77777777" w:rsidR="008423E4" w:rsidRPr="00E26B13" w:rsidRDefault="008423E4" w:rsidP="008C0A98">
            <w:pPr>
              <w:rPr>
                <w:b/>
              </w:rPr>
            </w:pPr>
          </w:p>
        </w:tc>
      </w:tr>
      <w:tr w:rsidR="001F034C" w14:paraId="51027237" w14:textId="77777777" w:rsidTr="00345119">
        <w:tc>
          <w:tcPr>
            <w:tcW w:w="9576" w:type="dxa"/>
          </w:tcPr>
          <w:p w14:paraId="3E24EEBA" w14:textId="77777777" w:rsidR="0017725B" w:rsidRDefault="00EA03EB" w:rsidP="008C0A9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9E71E41" w14:textId="77777777" w:rsidR="0017725B" w:rsidRDefault="0017725B" w:rsidP="008C0A98">
            <w:pPr>
              <w:rPr>
                <w:b/>
                <w:u w:val="single"/>
              </w:rPr>
            </w:pPr>
          </w:p>
          <w:p w14:paraId="4FF7480C" w14:textId="5C93D3D1" w:rsidR="0001797F" w:rsidRPr="0001797F" w:rsidRDefault="00EA03EB" w:rsidP="008C0A98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1B3925B" w14:textId="77777777" w:rsidR="0017725B" w:rsidRPr="0017725B" w:rsidRDefault="0017725B" w:rsidP="008C0A98">
            <w:pPr>
              <w:rPr>
                <w:b/>
                <w:u w:val="single"/>
              </w:rPr>
            </w:pPr>
          </w:p>
        </w:tc>
      </w:tr>
      <w:tr w:rsidR="001F034C" w14:paraId="3FD79DC2" w14:textId="77777777" w:rsidTr="00345119">
        <w:tc>
          <w:tcPr>
            <w:tcW w:w="9576" w:type="dxa"/>
          </w:tcPr>
          <w:p w14:paraId="65E49AEB" w14:textId="77777777" w:rsidR="008423E4" w:rsidRPr="00A8133F" w:rsidRDefault="00EA03EB" w:rsidP="008C0A9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E181BA4" w14:textId="77777777" w:rsidR="008423E4" w:rsidRDefault="008423E4" w:rsidP="008C0A98"/>
          <w:p w14:paraId="2157214F" w14:textId="26A59244" w:rsidR="0001797F" w:rsidRDefault="00EA03EB" w:rsidP="008C0A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this bill does not expressly grant any additional rulemaking authority to a state officer, department, agency, or institution.</w:t>
            </w:r>
          </w:p>
          <w:p w14:paraId="0202C8A2" w14:textId="77777777" w:rsidR="008423E4" w:rsidRPr="00E21FDC" w:rsidRDefault="008423E4" w:rsidP="008C0A98">
            <w:pPr>
              <w:rPr>
                <w:b/>
              </w:rPr>
            </w:pPr>
          </w:p>
        </w:tc>
      </w:tr>
      <w:tr w:rsidR="001F034C" w14:paraId="307129BB" w14:textId="77777777" w:rsidTr="00345119">
        <w:tc>
          <w:tcPr>
            <w:tcW w:w="9576" w:type="dxa"/>
          </w:tcPr>
          <w:p w14:paraId="4DCBEA14" w14:textId="77777777" w:rsidR="008423E4" w:rsidRPr="00A8133F" w:rsidRDefault="00EA03EB" w:rsidP="008C0A9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2DFE080" w14:textId="77777777" w:rsidR="008423E4" w:rsidRDefault="008423E4" w:rsidP="008C0A98"/>
          <w:p w14:paraId="01B4632C" w14:textId="2371127B" w:rsidR="009C36CD" w:rsidRDefault="00EA03EB" w:rsidP="008C0A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1956 amends the Tax Code to </w:t>
            </w:r>
            <w:r w:rsidR="00510A2A">
              <w:t xml:space="preserve">revise statutory provisions relating to </w:t>
            </w:r>
            <w:r w:rsidR="00B23EB1">
              <w:t xml:space="preserve">the award of </w:t>
            </w:r>
            <w:r w:rsidR="004B3CEA">
              <w:t xml:space="preserve">reasonable </w:t>
            </w:r>
            <w:r w:rsidR="00510A2A">
              <w:t>attorney</w:t>
            </w:r>
            <w:r w:rsidR="008305F1">
              <w:t>'</w:t>
            </w:r>
            <w:r w:rsidR="00510A2A">
              <w:t>s fees</w:t>
            </w:r>
            <w:r w:rsidR="00B23EB1">
              <w:t xml:space="preserve"> to a</w:t>
            </w:r>
            <w:r w:rsidR="004A2ED3">
              <w:t xml:space="preserve"> prevailing</w:t>
            </w:r>
            <w:r w:rsidR="00B23EB1">
              <w:t xml:space="preserve"> </w:t>
            </w:r>
            <w:r w:rsidR="005757B3">
              <w:t>p</w:t>
            </w:r>
            <w:r w:rsidR="00B23EB1">
              <w:t>roperty owner</w:t>
            </w:r>
            <w:r w:rsidR="005757B3">
              <w:t xml:space="preserve"> in a </w:t>
            </w:r>
            <w:r w:rsidR="004A2ED3">
              <w:t>judicial</w:t>
            </w:r>
            <w:r w:rsidR="005757B3">
              <w:t xml:space="preserve"> appeal</w:t>
            </w:r>
            <w:r w:rsidR="00510A2A">
              <w:t xml:space="preserve"> </w:t>
            </w:r>
            <w:r w:rsidR="00D32A8E">
              <w:t>of certain property tax determinations</w:t>
            </w:r>
            <w:r w:rsidR="00B23EB1">
              <w:t xml:space="preserve"> as follows: </w:t>
            </w:r>
          </w:p>
          <w:p w14:paraId="4C97C471" w14:textId="50A1F104" w:rsidR="004468C3" w:rsidRDefault="00EA03EB" w:rsidP="008C0A9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expands</w:t>
            </w:r>
            <w:r w:rsidR="00B23EB1">
              <w:t xml:space="preserve"> the </w:t>
            </w:r>
            <w:r>
              <w:t xml:space="preserve">application of </w:t>
            </w:r>
            <w:r w:rsidR="00D32A8E">
              <w:t xml:space="preserve">provisions providing for </w:t>
            </w:r>
            <w:r w:rsidR="004B3CEA">
              <w:t>the award of attorney</w:t>
            </w:r>
            <w:r w:rsidR="008305F1">
              <w:t>'</w:t>
            </w:r>
            <w:r w:rsidR="004B3CEA">
              <w:t xml:space="preserve">s fees </w:t>
            </w:r>
            <w:r w:rsidR="005757B3">
              <w:t>to a</w:t>
            </w:r>
            <w:r w:rsidR="00D32A8E">
              <w:t xml:space="preserve"> property</w:t>
            </w:r>
            <w:r w:rsidR="005757B3">
              <w:t xml:space="preserve"> owner </w:t>
            </w:r>
            <w:r w:rsidR="00182ED6">
              <w:t>who prevails in an appeal to the court under any provision providing for judicial review with respect to property taxes the subject of which relates to</w:t>
            </w:r>
            <w:r>
              <w:t xml:space="preserve"> any </w:t>
            </w:r>
            <w:r w:rsidR="00510A2A" w:rsidRPr="00510A2A">
              <w:t xml:space="preserve">determination of a motion </w:t>
            </w:r>
            <w:r w:rsidR="005757B3">
              <w:t>regarding a local</w:t>
            </w:r>
            <w:r w:rsidR="005757B3" w:rsidRPr="005757B3">
              <w:t xml:space="preserve"> appraisal</w:t>
            </w:r>
            <w:r w:rsidR="00510A2A" w:rsidRPr="00510A2A">
              <w:t xml:space="preserve"> or of a protest under </w:t>
            </w:r>
            <w:r w:rsidR="005757B3">
              <w:t>local review</w:t>
            </w:r>
            <w:r>
              <w:t>;</w:t>
            </w:r>
          </w:p>
          <w:p w14:paraId="5D8DBEE7" w14:textId="5AC44B37" w:rsidR="001F026D" w:rsidRDefault="00EA03EB" w:rsidP="008C0A9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raises the cap on the amount of the award from </w:t>
            </w:r>
            <w:r w:rsidR="00A62F65">
              <w:t xml:space="preserve">the greater of </w:t>
            </w:r>
            <w:r>
              <w:t xml:space="preserve">$15,000 </w:t>
            </w:r>
            <w:r w:rsidR="00A62F65">
              <w:t xml:space="preserve">or </w:t>
            </w:r>
            <w:r>
              <w:t xml:space="preserve">20 percent </w:t>
            </w:r>
            <w:r w:rsidR="00A62F65">
              <w:t>of the total amount by which the property owner's tax liability is reduced as a result of the appeal to the greater of $25,000 or</w:t>
            </w:r>
            <w:r>
              <w:t xml:space="preserve"> 50 pe</w:t>
            </w:r>
            <w:r>
              <w:t>rcent</w:t>
            </w:r>
            <w:r w:rsidR="00A62F65">
              <w:t xml:space="preserve"> of</w:t>
            </w:r>
            <w:r>
              <w:t xml:space="preserve"> </w:t>
            </w:r>
            <w:r w:rsidRPr="001F026D">
              <w:t>the total amount by which the property owner's tax liability is reduced as a result of the appeal</w:t>
            </w:r>
            <w:r>
              <w:t>;</w:t>
            </w:r>
          </w:p>
          <w:p w14:paraId="2206DD9A" w14:textId="3910B8B4" w:rsidR="001F026D" w:rsidRDefault="00EA03EB" w:rsidP="008C0A9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changes the cap on</w:t>
            </w:r>
            <w:r w:rsidR="00712DDB">
              <w:t xml:space="preserve"> </w:t>
            </w:r>
            <w:r w:rsidR="00712DDB" w:rsidRPr="00712DDB">
              <w:t>the amount of attorney's fees</w:t>
            </w:r>
            <w:r w:rsidR="00712DDB">
              <w:t xml:space="preserve"> </w:t>
            </w:r>
            <w:r>
              <w:t xml:space="preserve">that </w:t>
            </w:r>
            <w:r w:rsidR="00712DDB">
              <w:t xml:space="preserve">may </w:t>
            </w:r>
            <w:r>
              <w:t>be awarded from</w:t>
            </w:r>
            <w:r w:rsidR="00712DDB">
              <w:t xml:space="preserve"> the lesser of $100,000</w:t>
            </w:r>
            <w:r>
              <w:t xml:space="preserve"> or the total amount by which the property owner's t</w:t>
            </w:r>
            <w:r>
              <w:t xml:space="preserve">ax liability is reduced as a result of the appeal to </w:t>
            </w:r>
            <w:r w:rsidR="00051335">
              <w:t xml:space="preserve">an amount equal to </w:t>
            </w:r>
            <w:r w:rsidRPr="00A62F65">
              <w:t>the total amount by which the property owner's tax liability is reduced as a result of the appea</w:t>
            </w:r>
            <w:r>
              <w:t>l</w:t>
            </w:r>
            <w:r w:rsidR="00712DDB">
              <w:t xml:space="preserve">; </w:t>
            </w:r>
          </w:p>
          <w:p w14:paraId="464E7945" w14:textId="7FBE8E15" w:rsidR="00712DDB" w:rsidRDefault="00EA03EB" w:rsidP="008C0A9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clarifies that</w:t>
            </w:r>
            <w:r w:rsidR="00051335">
              <w:t xml:space="preserve"> the cap on</w:t>
            </w:r>
            <w:r>
              <w:t xml:space="preserve"> </w:t>
            </w:r>
            <w:r w:rsidRPr="00712DDB">
              <w:t xml:space="preserve">the award </w:t>
            </w:r>
            <w:r w:rsidR="00051335">
              <w:t>of attorney's fees applies to</w:t>
            </w:r>
            <w:r>
              <w:t xml:space="preserve"> the prevailing pro</w:t>
            </w:r>
            <w:r>
              <w:t>perty owner</w:t>
            </w:r>
            <w:r w:rsidR="00051335">
              <w:t>; and</w:t>
            </w:r>
          </w:p>
          <w:p w14:paraId="4E3146BE" w14:textId="72998E48" w:rsidR="00051335" w:rsidRDefault="00EA03EB" w:rsidP="008C0A9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establishes that</w:t>
            </w:r>
            <w:r w:rsidR="00712DDB">
              <w:t xml:space="preserve"> the amount of an award of attorney's fees to the prevailing property owner </w:t>
            </w:r>
            <w:r>
              <w:t xml:space="preserve">is not subject </w:t>
            </w:r>
            <w:r w:rsidR="00712DDB">
              <w:t xml:space="preserve">to </w:t>
            </w:r>
            <w:r>
              <w:t>such</w:t>
            </w:r>
            <w:r w:rsidR="00712DDB">
              <w:t xml:space="preserve"> limitations if the property owner prevails in an appeal </w:t>
            </w:r>
            <w:r w:rsidR="0001797F">
              <w:t>for excessive or unequal appraisals</w:t>
            </w:r>
            <w:r w:rsidR="00712DDB">
              <w:t xml:space="preserve"> and</w:t>
            </w:r>
            <w:r w:rsidR="00034FE4">
              <w:t xml:space="preserve"> </w:t>
            </w:r>
            <w:r>
              <w:t xml:space="preserve">if </w:t>
            </w:r>
            <w:r w:rsidR="0001797F">
              <w:t xml:space="preserve">the owner </w:t>
            </w:r>
            <w:r w:rsidR="00712DDB">
              <w:t>qualifies the property as the owner's residence homestead.</w:t>
            </w:r>
            <w:r w:rsidR="00034FE4">
              <w:t xml:space="preserve"> </w:t>
            </w:r>
          </w:p>
          <w:p w14:paraId="703C1143" w14:textId="196562D6" w:rsidR="00CF0BD3" w:rsidRPr="009C36CD" w:rsidRDefault="00EA03EB" w:rsidP="008C0A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</w:t>
            </w:r>
            <w:r w:rsidR="008305F1">
              <w:t>'</w:t>
            </w:r>
            <w:r>
              <w:t xml:space="preserve">s provisions apply </w:t>
            </w:r>
            <w:r w:rsidRPr="00034FE4">
              <w:t>only to an</w:t>
            </w:r>
            <w:r>
              <w:t xml:space="preserve"> </w:t>
            </w:r>
            <w:r w:rsidRPr="00034FE4">
              <w:t xml:space="preserve">appeal </w:t>
            </w:r>
            <w:r w:rsidR="00886ADF">
              <w:t xml:space="preserve">filed under property tax provisions relating to judicial review </w:t>
            </w:r>
            <w:r w:rsidRPr="00034FE4">
              <w:t xml:space="preserve">on or after the </w:t>
            </w:r>
            <w:r>
              <w:t>bill</w:t>
            </w:r>
            <w:r w:rsidR="008305F1">
              <w:t>'</w:t>
            </w:r>
            <w:r>
              <w:t xml:space="preserve">s </w:t>
            </w:r>
            <w:r w:rsidRPr="00034FE4">
              <w:t>effective date</w:t>
            </w:r>
            <w:r>
              <w:t>.</w:t>
            </w:r>
          </w:p>
          <w:p w14:paraId="004D4C34" w14:textId="77777777" w:rsidR="008423E4" w:rsidRPr="00835628" w:rsidRDefault="008423E4" w:rsidP="008C0A98">
            <w:pPr>
              <w:rPr>
                <w:b/>
              </w:rPr>
            </w:pPr>
          </w:p>
        </w:tc>
      </w:tr>
      <w:tr w:rsidR="001F034C" w14:paraId="19EFC37C" w14:textId="77777777" w:rsidTr="00345119">
        <w:tc>
          <w:tcPr>
            <w:tcW w:w="9576" w:type="dxa"/>
          </w:tcPr>
          <w:p w14:paraId="005AB64F" w14:textId="77777777" w:rsidR="008423E4" w:rsidRPr="00A8133F" w:rsidRDefault="00EA03EB" w:rsidP="008C0A9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310B3F1" w14:textId="77777777" w:rsidR="008423E4" w:rsidRDefault="008423E4" w:rsidP="008C0A98"/>
          <w:p w14:paraId="22D3E3B8" w14:textId="1C844F76" w:rsidR="008423E4" w:rsidRPr="003624F2" w:rsidRDefault="00EA03EB" w:rsidP="008C0A9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</w:t>
            </w:r>
            <w:r>
              <w:t>receive the necessary vote, September 1, 2023.</w:t>
            </w:r>
          </w:p>
          <w:p w14:paraId="35D3D06D" w14:textId="77777777" w:rsidR="008423E4" w:rsidRPr="00233FDB" w:rsidRDefault="008423E4" w:rsidP="008C0A98">
            <w:pPr>
              <w:rPr>
                <w:b/>
              </w:rPr>
            </w:pPr>
          </w:p>
        </w:tc>
      </w:tr>
    </w:tbl>
    <w:p w14:paraId="1E2B3661" w14:textId="77777777" w:rsidR="008423E4" w:rsidRPr="00BE0E75" w:rsidRDefault="008423E4" w:rsidP="008C0A98">
      <w:pPr>
        <w:jc w:val="both"/>
        <w:rPr>
          <w:rFonts w:ascii="Arial" w:hAnsi="Arial"/>
          <w:sz w:val="16"/>
          <w:szCs w:val="16"/>
        </w:rPr>
      </w:pPr>
    </w:p>
    <w:p w14:paraId="7AD1E1E7" w14:textId="77777777" w:rsidR="004108C3" w:rsidRPr="008423E4" w:rsidRDefault="004108C3" w:rsidP="008C0A9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8A25A" w14:textId="77777777" w:rsidR="00000000" w:rsidRDefault="00EA03EB">
      <w:r>
        <w:separator/>
      </w:r>
    </w:p>
  </w:endnote>
  <w:endnote w:type="continuationSeparator" w:id="0">
    <w:p w14:paraId="386CA6D9" w14:textId="77777777" w:rsidR="00000000" w:rsidRDefault="00EA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5AF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F034C" w14:paraId="50CE3747" w14:textId="77777777" w:rsidTr="009C1E9A">
      <w:trPr>
        <w:cantSplit/>
      </w:trPr>
      <w:tc>
        <w:tcPr>
          <w:tcW w:w="0" w:type="pct"/>
        </w:tcPr>
        <w:p w14:paraId="6D850FC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4BAB7A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A247FC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5469D4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10D930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F034C" w14:paraId="03CBBBDB" w14:textId="77777777" w:rsidTr="009C1E9A">
      <w:trPr>
        <w:cantSplit/>
      </w:trPr>
      <w:tc>
        <w:tcPr>
          <w:tcW w:w="0" w:type="pct"/>
        </w:tcPr>
        <w:p w14:paraId="122B806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9EAA313" w14:textId="62FD4649" w:rsidR="00EC379B" w:rsidRPr="009C1E9A" w:rsidRDefault="00EA03E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27161-D</w:t>
          </w:r>
        </w:p>
      </w:tc>
      <w:tc>
        <w:tcPr>
          <w:tcW w:w="2453" w:type="pct"/>
        </w:tcPr>
        <w:p w14:paraId="297EE2B3" w14:textId="5A3EB47A" w:rsidR="00EC379B" w:rsidRDefault="00EA03E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C0A98">
            <w:t>23.120.268</w:t>
          </w:r>
          <w:r>
            <w:fldChar w:fldCharType="end"/>
          </w:r>
        </w:p>
      </w:tc>
    </w:tr>
    <w:tr w:rsidR="001F034C" w14:paraId="7D39AD47" w14:textId="77777777" w:rsidTr="009C1E9A">
      <w:trPr>
        <w:cantSplit/>
      </w:trPr>
      <w:tc>
        <w:tcPr>
          <w:tcW w:w="0" w:type="pct"/>
        </w:tcPr>
        <w:p w14:paraId="39F2775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5D8C94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8AD802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31950B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F034C" w14:paraId="4C4989E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8B97D39" w14:textId="77777777" w:rsidR="00EC379B" w:rsidRDefault="00EA03E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F05CAF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C3D3B8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055A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24BB" w14:textId="77777777" w:rsidR="00000000" w:rsidRDefault="00EA03EB">
      <w:r>
        <w:separator/>
      </w:r>
    </w:p>
  </w:footnote>
  <w:footnote w:type="continuationSeparator" w:id="0">
    <w:p w14:paraId="42300BB9" w14:textId="77777777" w:rsidR="00000000" w:rsidRDefault="00EA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314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0983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7D773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111C"/>
    <w:multiLevelType w:val="hybridMultilevel"/>
    <w:tmpl w:val="3AC88C38"/>
    <w:lvl w:ilvl="0" w:tplc="335CD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AC37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86C2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6F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A1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62B4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4E7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83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F2B3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D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797F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4FE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1335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0DC2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5B1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2ED6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55F7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026D"/>
    <w:rsid w:val="001F034C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68C3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2ED3"/>
    <w:rsid w:val="004B138F"/>
    <w:rsid w:val="004B3CEA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0A2A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57B3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4DC0"/>
    <w:rsid w:val="006757AA"/>
    <w:rsid w:val="0068127E"/>
    <w:rsid w:val="00681790"/>
    <w:rsid w:val="006823AA"/>
    <w:rsid w:val="0068302A"/>
    <w:rsid w:val="00683FFC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2DDB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5F1"/>
    <w:rsid w:val="00830EEB"/>
    <w:rsid w:val="008347A9"/>
    <w:rsid w:val="00835628"/>
    <w:rsid w:val="00835E90"/>
    <w:rsid w:val="00837F84"/>
    <w:rsid w:val="0084176D"/>
    <w:rsid w:val="008423E4"/>
    <w:rsid w:val="00842900"/>
    <w:rsid w:val="008456D2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6ADF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0A98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07F5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689D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2F65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3EB1"/>
    <w:rsid w:val="00B25612"/>
    <w:rsid w:val="00B26437"/>
    <w:rsid w:val="00B2678E"/>
    <w:rsid w:val="00B30647"/>
    <w:rsid w:val="00B31F0E"/>
    <w:rsid w:val="00B34F25"/>
    <w:rsid w:val="00B374FE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4BE4"/>
    <w:rsid w:val="00BB5B36"/>
    <w:rsid w:val="00BC027B"/>
    <w:rsid w:val="00BC049F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50D1"/>
    <w:rsid w:val="00CD731C"/>
    <w:rsid w:val="00CE08E8"/>
    <w:rsid w:val="00CE2133"/>
    <w:rsid w:val="00CE245D"/>
    <w:rsid w:val="00CE300F"/>
    <w:rsid w:val="00CE3582"/>
    <w:rsid w:val="00CE3795"/>
    <w:rsid w:val="00CE3E20"/>
    <w:rsid w:val="00CF0BD3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2A8E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4825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1A45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03EB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1E6B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4736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138590-52D9-43C0-B53F-E485303D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1797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79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797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7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797F"/>
    <w:rPr>
      <w:b/>
      <w:bCs/>
    </w:rPr>
  </w:style>
  <w:style w:type="paragraph" w:styleId="Revision">
    <w:name w:val="Revision"/>
    <w:hidden/>
    <w:uiPriority w:val="99"/>
    <w:semiHidden/>
    <w:rsid w:val="00886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2923</Characters>
  <Application>Microsoft Office Word</Application>
  <DocSecurity>4</DocSecurity>
  <Lines>68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HB01956 (Committee Report (Unamended))</vt:lpstr>
    </vt:vector>
  </TitlesOfParts>
  <Company>State of Texas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27161</dc:subject>
  <dc:creator>State of Texas</dc:creator>
  <dc:description>HB 1956 by Geren-(H)Ways &amp; Means</dc:description>
  <cp:lastModifiedBy>Thomas Weis</cp:lastModifiedBy>
  <cp:revision>2</cp:revision>
  <cp:lastPrinted>2003-11-26T17:21:00Z</cp:lastPrinted>
  <dcterms:created xsi:type="dcterms:W3CDTF">2023-05-03T01:21:00Z</dcterms:created>
  <dcterms:modified xsi:type="dcterms:W3CDTF">2023-05-03T01:21:00Z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23.120.268</vt:lpwstr>
  </property>
</Properties>
</file>