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B0E82" w14:paraId="7D8849BB" w14:textId="77777777" w:rsidTr="00345119">
        <w:tc>
          <w:tcPr>
            <w:tcW w:w="9576" w:type="dxa"/>
            <w:noWrap/>
          </w:tcPr>
          <w:p w14:paraId="7519E58D" w14:textId="77777777" w:rsidR="008423E4" w:rsidRPr="0022177D" w:rsidRDefault="004D4C90" w:rsidP="00400B61">
            <w:pPr>
              <w:pStyle w:val="Heading1"/>
            </w:pPr>
            <w:r w:rsidRPr="00631897">
              <w:t>BILL ANALYSIS</w:t>
            </w:r>
          </w:p>
        </w:tc>
      </w:tr>
    </w:tbl>
    <w:p w14:paraId="70818058" w14:textId="77777777" w:rsidR="008423E4" w:rsidRPr="0022177D" w:rsidRDefault="008423E4" w:rsidP="00400B61">
      <w:pPr>
        <w:jc w:val="center"/>
      </w:pPr>
    </w:p>
    <w:p w14:paraId="3325A216" w14:textId="77777777" w:rsidR="008423E4" w:rsidRPr="00B31F0E" w:rsidRDefault="008423E4" w:rsidP="00400B61"/>
    <w:p w14:paraId="45C7F20B" w14:textId="77777777" w:rsidR="008423E4" w:rsidRPr="00742794" w:rsidRDefault="008423E4" w:rsidP="00400B61">
      <w:pPr>
        <w:tabs>
          <w:tab w:val="right" w:pos="9360"/>
        </w:tabs>
      </w:pPr>
    </w:p>
    <w:tbl>
      <w:tblPr>
        <w:tblW w:w="0" w:type="auto"/>
        <w:tblLayout w:type="fixed"/>
        <w:tblLook w:val="01E0" w:firstRow="1" w:lastRow="1" w:firstColumn="1" w:lastColumn="1" w:noHBand="0" w:noVBand="0"/>
      </w:tblPr>
      <w:tblGrid>
        <w:gridCol w:w="9576"/>
      </w:tblGrid>
      <w:tr w:rsidR="00EB0E82" w14:paraId="0E0B903C" w14:textId="77777777" w:rsidTr="00345119">
        <w:tc>
          <w:tcPr>
            <w:tcW w:w="9576" w:type="dxa"/>
          </w:tcPr>
          <w:p w14:paraId="229D77D9" w14:textId="36E1BC0B" w:rsidR="008423E4" w:rsidRPr="00861995" w:rsidRDefault="004D4C90" w:rsidP="00400B61">
            <w:pPr>
              <w:jc w:val="right"/>
            </w:pPr>
            <w:r>
              <w:t>C.S.H.B. 2002</w:t>
            </w:r>
          </w:p>
        </w:tc>
      </w:tr>
      <w:tr w:rsidR="00EB0E82" w14:paraId="2A1012B3" w14:textId="77777777" w:rsidTr="00345119">
        <w:tc>
          <w:tcPr>
            <w:tcW w:w="9576" w:type="dxa"/>
          </w:tcPr>
          <w:p w14:paraId="6CA8FD73" w14:textId="7B0D8292" w:rsidR="008423E4" w:rsidRPr="00861995" w:rsidRDefault="004D4C90" w:rsidP="00400B61">
            <w:pPr>
              <w:jc w:val="right"/>
            </w:pPr>
            <w:r>
              <w:t xml:space="preserve">By: </w:t>
            </w:r>
            <w:r w:rsidR="00442393">
              <w:t>Oliverson</w:t>
            </w:r>
          </w:p>
        </w:tc>
      </w:tr>
      <w:tr w:rsidR="00EB0E82" w14:paraId="2AF9D780" w14:textId="77777777" w:rsidTr="00345119">
        <w:tc>
          <w:tcPr>
            <w:tcW w:w="9576" w:type="dxa"/>
          </w:tcPr>
          <w:p w14:paraId="45AA227C" w14:textId="7D0BDD4A" w:rsidR="008423E4" w:rsidRPr="00861995" w:rsidRDefault="004D4C90" w:rsidP="00400B61">
            <w:pPr>
              <w:jc w:val="right"/>
            </w:pPr>
            <w:r>
              <w:t>Health Care Reform, Select</w:t>
            </w:r>
          </w:p>
        </w:tc>
      </w:tr>
      <w:tr w:rsidR="00EB0E82" w14:paraId="4D4286C8" w14:textId="77777777" w:rsidTr="00345119">
        <w:tc>
          <w:tcPr>
            <w:tcW w:w="9576" w:type="dxa"/>
          </w:tcPr>
          <w:p w14:paraId="4DCD04EB" w14:textId="5AF3D3D7" w:rsidR="008423E4" w:rsidRDefault="004D4C90" w:rsidP="00400B61">
            <w:pPr>
              <w:jc w:val="right"/>
            </w:pPr>
            <w:r>
              <w:t>Committee Report (Substituted)</w:t>
            </w:r>
          </w:p>
        </w:tc>
      </w:tr>
    </w:tbl>
    <w:p w14:paraId="0C399794" w14:textId="77777777" w:rsidR="008423E4" w:rsidRDefault="008423E4" w:rsidP="00400B61">
      <w:pPr>
        <w:tabs>
          <w:tab w:val="right" w:pos="9360"/>
        </w:tabs>
      </w:pPr>
    </w:p>
    <w:p w14:paraId="1878B1FB" w14:textId="77777777" w:rsidR="008423E4" w:rsidRDefault="008423E4" w:rsidP="00400B61"/>
    <w:p w14:paraId="695099E9" w14:textId="77777777" w:rsidR="008423E4" w:rsidRDefault="008423E4" w:rsidP="00400B61"/>
    <w:tbl>
      <w:tblPr>
        <w:tblW w:w="0" w:type="auto"/>
        <w:tblCellMar>
          <w:left w:w="115" w:type="dxa"/>
          <w:right w:w="115" w:type="dxa"/>
        </w:tblCellMar>
        <w:tblLook w:val="01E0" w:firstRow="1" w:lastRow="1" w:firstColumn="1" w:lastColumn="1" w:noHBand="0" w:noVBand="0"/>
      </w:tblPr>
      <w:tblGrid>
        <w:gridCol w:w="9360"/>
      </w:tblGrid>
      <w:tr w:rsidR="00EB0E82" w14:paraId="7EB0B4E1" w14:textId="77777777" w:rsidTr="00400B61">
        <w:tc>
          <w:tcPr>
            <w:tcW w:w="9360" w:type="dxa"/>
          </w:tcPr>
          <w:p w14:paraId="542D7488" w14:textId="77777777" w:rsidR="008423E4" w:rsidRPr="00A8133F" w:rsidRDefault="004D4C90" w:rsidP="00400B61">
            <w:pPr>
              <w:rPr>
                <w:b/>
              </w:rPr>
            </w:pPr>
            <w:r w:rsidRPr="009C1E9A">
              <w:rPr>
                <w:b/>
                <w:u w:val="single"/>
              </w:rPr>
              <w:t>BACKGROUND AND PURPOSE</w:t>
            </w:r>
            <w:r>
              <w:rPr>
                <w:b/>
              </w:rPr>
              <w:t xml:space="preserve"> </w:t>
            </w:r>
          </w:p>
          <w:p w14:paraId="6EDC6D08" w14:textId="77777777" w:rsidR="008423E4" w:rsidRDefault="008423E4" w:rsidP="00400B61"/>
          <w:p w14:paraId="738B3B09" w14:textId="0F7E3881" w:rsidR="00CB0677" w:rsidRDefault="004D4C90" w:rsidP="00400B61">
            <w:pPr>
              <w:pStyle w:val="Header"/>
              <w:tabs>
                <w:tab w:val="clear" w:pos="4320"/>
                <w:tab w:val="clear" w:pos="8640"/>
              </w:tabs>
              <w:jc w:val="both"/>
            </w:pPr>
            <w:r>
              <w:t>Many health insurance plans have deductibles, which is the amount of money a person must pay out</w:t>
            </w:r>
            <w:r w:rsidR="00120A89">
              <w:t xml:space="preserve"> </w:t>
            </w:r>
            <w:r>
              <w:t>of</w:t>
            </w:r>
            <w:r w:rsidR="00120A89">
              <w:t xml:space="preserve"> </w:t>
            </w:r>
            <w:r>
              <w:t xml:space="preserve">pocket before their health plan's full coverage applies. Additionally, some health plans have a maximum out-of-pocket limit, which is the most a person will have to pay for covered medical expenses in a given year. Once the out-of-pocket limit is reached, </w:t>
            </w:r>
            <w:r>
              <w:t xml:space="preserve">the health plan pays 100 </w:t>
            </w:r>
            <w:r w:rsidR="00E42F39">
              <w:t xml:space="preserve">percent </w:t>
            </w:r>
            <w:r>
              <w:t xml:space="preserve">of covered medical expenses for the </w:t>
            </w:r>
            <w:r w:rsidR="00E42F39">
              <w:t xml:space="preserve">remainder </w:t>
            </w:r>
            <w:r>
              <w:t xml:space="preserve">of the plan year. </w:t>
            </w:r>
            <w:r w:rsidR="00E42F39">
              <w:t xml:space="preserve">In some circumstances, the cash price that a doctor or medical facility offers for a </w:t>
            </w:r>
            <w:r>
              <w:t xml:space="preserve">treatment, test, or procedure is </w:t>
            </w:r>
            <w:r w:rsidRPr="00CB0677">
              <w:t>less costly</w:t>
            </w:r>
            <w:r>
              <w:t xml:space="preserve"> than a health plan's negotiat</w:t>
            </w:r>
            <w:r>
              <w:t>ed rate. However, patients are not currently incentivized to seek out these deals because their cash payments do not count toward their deductible or maximum out-of-pocket expenses.</w:t>
            </w:r>
            <w:r w:rsidR="00E42F39">
              <w:t xml:space="preserve"> </w:t>
            </w:r>
          </w:p>
          <w:p w14:paraId="08DD61BB" w14:textId="77777777" w:rsidR="00CB0677" w:rsidRDefault="00CB0677" w:rsidP="00400B61">
            <w:pPr>
              <w:pStyle w:val="Header"/>
              <w:tabs>
                <w:tab w:val="clear" w:pos="4320"/>
                <w:tab w:val="clear" w:pos="8640"/>
              </w:tabs>
              <w:jc w:val="both"/>
            </w:pPr>
          </w:p>
          <w:p w14:paraId="62346FF4" w14:textId="1F3345FE" w:rsidR="008A7682" w:rsidRDefault="004D4C90" w:rsidP="00400B61">
            <w:pPr>
              <w:pStyle w:val="Header"/>
              <w:tabs>
                <w:tab w:val="clear" w:pos="4320"/>
                <w:tab w:val="clear" w:pos="8640"/>
              </w:tabs>
              <w:jc w:val="both"/>
            </w:pPr>
            <w:r>
              <w:t xml:space="preserve">C.S.H.B. 2002 will allow any out-of-pocket cash payment made by </w:t>
            </w:r>
            <w:r w:rsidR="00CB0677">
              <w:t xml:space="preserve">an </w:t>
            </w:r>
            <w:r>
              <w:t>indiv</w:t>
            </w:r>
            <w:r>
              <w:t xml:space="preserve">idual for </w:t>
            </w:r>
            <w:r w:rsidR="00D85DD7">
              <w:t xml:space="preserve">medically necessary </w:t>
            </w:r>
            <w:r>
              <w:t>services</w:t>
            </w:r>
            <w:r w:rsidR="00D85DD7">
              <w:t xml:space="preserve"> and supplies</w:t>
            </w:r>
            <w:r>
              <w:t xml:space="preserve"> to be credited toward their deductible and maximum out</w:t>
            </w:r>
            <w:r w:rsidR="00EE0366">
              <w:noBreakHyphen/>
            </w:r>
            <w:r>
              <w:t>of</w:t>
            </w:r>
            <w:r w:rsidR="00EE0366">
              <w:noBreakHyphen/>
            </w:r>
            <w:r>
              <w:t>pocket expenses. Allowing out-of-pocket payments to be credited in this manner provides several benefits, including encourag</w:t>
            </w:r>
            <w:r w:rsidR="00CB0677">
              <w:t>ing</w:t>
            </w:r>
            <w:r>
              <w:t xml:space="preserve"> cost-saving behavi</w:t>
            </w:r>
            <w:r>
              <w:t>or, increasing health</w:t>
            </w:r>
            <w:r w:rsidR="00EE0366">
              <w:t xml:space="preserve"> </w:t>
            </w:r>
            <w:r>
              <w:t>care affordability and access, and improv</w:t>
            </w:r>
            <w:r w:rsidR="00DD2C4D">
              <w:t>ing</w:t>
            </w:r>
            <w:r>
              <w:t xml:space="preserve"> patient satisfaction. </w:t>
            </w:r>
          </w:p>
          <w:p w14:paraId="20C9F45F" w14:textId="77777777" w:rsidR="008423E4" w:rsidRPr="00E26B13" w:rsidRDefault="008423E4" w:rsidP="00400B61">
            <w:pPr>
              <w:rPr>
                <w:b/>
              </w:rPr>
            </w:pPr>
          </w:p>
        </w:tc>
      </w:tr>
      <w:tr w:rsidR="00EB0E82" w14:paraId="5121CE5B" w14:textId="77777777" w:rsidTr="00400B61">
        <w:tc>
          <w:tcPr>
            <w:tcW w:w="9360" w:type="dxa"/>
          </w:tcPr>
          <w:p w14:paraId="5C1809CE" w14:textId="77777777" w:rsidR="0017725B" w:rsidRDefault="004D4C90" w:rsidP="00400B61">
            <w:pPr>
              <w:rPr>
                <w:b/>
                <w:u w:val="single"/>
              </w:rPr>
            </w:pPr>
            <w:r>
              <w:rPr>
                <w:b/>
                <w:u w:val="single"/>
              </w:rPr>
              <w:t>CRIMINAL JUSTICE IMPACT</w:t>
            </w:r>
          </w:p>
          <w:p w14:paraId="213D1D99" w14:textId="77777777" w:rsidR="0017725B" w:rsidRDefault="0017725B" w:rsidP="00400B61">
            <w:pPr>
              <w:rPr>
                <w:b/>
                <w:u w:val="single"/>
              </w:rPr>
            </w:pPr>
          </w:p>
          <w:p w14:paraId="07336973" w14:textId="5A61263C" w:rsidR="001435E1" w:rsidRPr="001435E1" w:rsidRDefault="004D4C90" w:rsidP="00400B61">
            <w:pPr>
              <w:jc w:val="both"/>
            </w:pPr>
            <w:r>
              <w:t xml:space="preserve">It is the committee's opinion that this bill does not expressly create a criminal offense, increase the punishment for an existing </w:t>
            </w:r>
            <w:r>
              <w:t>criminal offense or category of offenses, or change the eligibility of a person for community supervision, parole, or mandatory supervision.</w:t>
            </w:r>
          </w:p>
          <w:p w14:paraId="1C3FA822" w14:textId="77777777" w:rsidR="0017725B" w:rsidRPr="0017725B" w:rsidRDefault="0017725B" w:rsidP="00400B61">
            <w:pPr>
              <w:rPr>
                <w:b/>
                <w:u w:val="single"/>
              </w:rPr>
            </w:pPr>
          </w:p>
        </w:tc>
      </w:tr>
      <w:tr w:rsidR="00EB0E82" w14:paraId="7A2BAC3F" w14:textId="77777777" w:rsidTr="00400B61">
        <w:tc>
          <w:tcPr>
            <w:tcW w:w="9360" w:type="dxa"/>
          </w:tcPr>
          <w:p w14:paraId="18F66722" w14:textId="77777777" w:rsidR="008423E4" w:rsidRPr="00A8133F" w:rsidRDefault="004D4C90" w:rsidP="00400B61">
            <w:pPr>
              <w:rPr>
                <w:b/>
              </w:rPr>
            </w:pPr>
            <w:r w:rsidRPr="009C1E9A">
              <w:rPr>
                <w:b/>
                <w:u w:val="single"/>
              </w:rPr>
              <w:t>RULEMAKING AUTHORITY</w:t>
            </w:r>
            <w:r>
              <w:rPr>
                <w:b/>
              </w:rPr>
              <w:t xml:space="preserve"> </w:t>
            </w:r>
          </w:p>
          <w:p w14:paraId="3FDF304F" w14:textId="77777777" w:rsidR="008423E4" w:rsidRDefault="008423E4" w:rsidP="00400B61"/>
          <w:p w14:paraId="38F81155" w14:textId="1FBDCB23" w:rsidR="001435E1" w:rsidRDefault="004D4C90" w:rsidP="00400B61">
            <w:pPr>
              <w:pStyle w:val="Header"/>
              <w:tabs>
                <w:tab w:val="clear" w:pos="4320"/>
                <w:tab w:val="clear" w:pos="8640"/>
              </w:tabs>
              <w:jc w:val="both"/>
            </w:pPr>
            <w:r>
              <w:t>It is the committee's opinion that this bill does not expressly grant any additional rulem</w:t>
            </w:r>
            <w:r>
              <w:t>aking authority to a state officer, department, agency, or institution.</w:t>
            </w:r>
          </w:p>
          <w:p w14:paraId="59CF20D7" w14:textId="77777777" w:rsidR="008423E4" w:rsidRPr="00E21FDC" w:rsidRDefault="008423E4" w:rsidP="00400B61">
            <w:pPr>
              <w:rPr>
                <w:b/>
              </w:rPr>
            </w:pPr>
          </w:p>
        </w:tc>
      </w:tr>
      <w:tr w:rsidR="00EB0E82" w14:paraId="697C9773" w14:textId="77777777" w:rsidTr="00400B61">
        <w:tc>
          <w:tcPr>
            <w:tcW w:w="9360" w:type="dxa"/>
          </w:tcPr>
          <w:p w14:paraId="787BEC69" w14:textId="77777777" w:rsidR="008423E4" w:rsidRPr="00A8133F" w:rsidRDefault="004D4C90" w:rsidP="00400B61">
            <w:pPr>
              <w:rPr>
                <w:b/>
              </w:rPr>
            </w:pPr>
            <w:r w:rsidRPr="009C1E9A">
              <w:rPr>
                <w:b/>
                <w:u w:val="single"/>
              </w:rPr>
              <w:t>ANALYSIS</w:t>
            </w:r>
            <w:r>
              <w:rPr>
                <w:b/>
              </w:rPr>
              <w:t xml:space="preserve"> </w:t>
            </w:r>
          </w:p>
          <w:p w14:paraId="45297E57" w14:textId="77777777" w:rsidR="008423E4" w:rsidRDefault="008423E4" w:rsidP="00400B61"/>
          <w:p w14:paraId="5322E4E4" w14:textId="224795C0" w:rsidR="00F74C2E" w:rsidRDefault="004D4C90" w:rsidP="00400B61">
            <w:pPr>
              <w:pStyle w:val="Header"/>
              <w:tabs>
                <w:tab w:val="clear" w:pos="4320"/>
                <w:tab w:val="clear" w:pos="8640"/>
              </w:tabs>
              <w:jc w:val="both"/>
            </w:pPr>
            <w:r>
              <w:t xml:space="preserve">C.S.H.B. 2002 amends the Insurance Code to </w:t>
            </w:r>
            <w:r w:rsidR="001279EE">
              <w:t>require a</w:t>
            </w:r>
            <w:r w:rsidR="00043484">
              <w:t>n</w:t>
            </w:r>
            <w:r w:rsidR="001279EE">
              <w:t xml:space="preserve"> insurer to </w:t>
            </w:r>
            <w:r w:rsidR="001279EE" w:rsidRPr="001279EE">
              <w:t xml:space="preserve">credit toward an insured's deductible and annual maximum out-of-pocket expenses an amount the insured pays directly to any physician or health care provider for a </w:t>
            </w:r>
            <w:r>
              <w:t xml:space="preserve">medically necessary </w:t>
            </w:r>
            <w:r w:rsidR="001279EE" w:rsidRPr="001279EE">
              <w:t>covered medical or health care service or supply</w:t>
            </w:r>
            <w:r w:rsidR="00030316">
              <w:t xml:space="preserve"> under the following</w:t>
            </w:r>
            <w:r w:rsidR="001279EE">
              <w:t xml:space="preserve"> </w:t>
            </w:r>
            <w:r w:rsidR="0098225F">
              <w:t>circumstances</w:t>
            </w:r>
            <w:r w:rsidR="001435E1">
              <w:t>:</w:t>
            </w:r>
          </w:p>
          <w:p w14:paraId="4DF9C6D1" w14:textId="32798AC5" w:rsidR="001435E1" w:rsidRDefault="004D4C90" w:rsidP="00400B61">
            <w:pPr>
              <w:pStyle w:val="Header"/>
              <w:numPr>
                <w:ilvl w:val="0"/>
                <w:numId w:val="1"/>
              </w:numPr>
              <w:tabs>
                <w:tab w:val="clear" w:pos="4320"/>
                <w:tab w:val="clear" w:pos="8640"/>
              </w:tabs>
              <w:jc w:val="both"/>
            </w:pPr>
            <w:r w:rsidRPr="001435E1">
              <w:t xml:space="preserve">a claim for the service or </w:t>
            </w:r>
            <w:r w:rsidRPr="001435E1">
              <w:t>supply is not submitted to the insurer</w:t>
            </w:r>
            <w:r>
              <w:t xml:space="preserve">; </w:t>
            </w:r>
            <w:r w:rsidRPr="001435E1">
              <w:t>and</w:t>
            </w:r>
          </w:p>
          <w:p w14:paraId="2967C92D" w14:textId="1578C12F" w:rsidR="001435E1" w:rsidRDefault="004D4C90" w:rsidP="00400B61">
            <w:pPr>
              <w:pStyle w:val="Header"/>
              <w:numPr>
                <w:ilvl w:val="0"/>
                <w:numId w:val="1"/>
              </w:numPr>
              <w:tabs>
                <w:tab w:val="clear" w:pos="4320"/>
                <w:tab w:val="clear" w:pos="8640"/>
              </w:tabs>
              <w:jc w:val="both"/>
            </w:pPr>
            <w:r w:rsidRPr="001435E1">
              <w:t>the amount paid by the insured to the physician or health care provider is less than the average discounted rate for the service or supply paid to an equivalently licensed or authorized preferred provider under t</w:t>
            </w:r>
            <w:r w:rsidRPr="001435E1">
              <w:t>he insured's preferred provider benefit plan.</w:t>
            </w:r>
          </w:p>
          <w:p w14:paraId="1DD623E7" w14:textId="77777777" w:rsidR="00F74C2E" w:rsidRDefault="00F74C2E" w:rsidP="00400B61">
            <w:pPr>
              <w:pStyle w:val="Header"/>
              <w:tabs>
                <w:tab w:val="clear" w:pos="4320"/>
                <w:tab w:val="clear" w:pos="8640"/>
              </w:tabs>
              <w:jc w:val="both"/>
            </w:pPr>
          </w:p>
          <w:p w14:paraId="759100B5" w14:textId="0E95B16C" w:rsidR="001435E1" w:rsidRDefault="004D4C90" w:rsidP="00400B61">
            <w:pPr>
              <w:pStyle w:val="Header"/>
              <w:jc w:val="both"/>
            </w:pPr>
            <w:r>
              <w:t>C.S.</w:t>
            </w:r>
            <w:r w:rsidR="00D95E83">
              <w:t xml:space="preserve">H.B. 2002 </w:t>
            </w:r>
            <w:r w:rsidR="00F74C2E">
              <w:t>require</w:t>
            </w:r>
            <w:r w:rsidR="00D95E83">
              <w:t>s</w:t>
            </w:r>
            <w:r w:rsidR="00F74C2E">
              <w:t xml:space="preserve"> an insurer to</w:t>
            </w:r>
            <w:r w:rsidR="00B051D4">
              <w:t xml:space="preserve"> establish a procedure by which an insured may claim </w:t>
            </w:r>
            <w:r w:rsidR="00030316">
              <w:t xml:space="preserve">such </w:t>
            </w:r>
            <w:r w:rsidR="00B051D4">
              <w:t>a credit and</w:t>
            </w:r>
            <w:r w:rsidR="0098225F">
              <w:t xml:space="preserve"> to</w:t>
            </w:r>
            <w:r w:rsidR="00B051D4">
              <w:t xml:space="preserve"> identify documentation necessary to support a claim for </w:t>
            </w:r>
            <w:r w:rsidR="00030316">
              <w:t xml:space="preserve">the </w:t>
            </w:r>
            <w:r w:rsidR="00B051D4">
              <w:t>credit.</w:t>
            </w:r>
            <w:r w:rsidR="00D95E83">
              <w:t xml:space="preserve"> The bill requires information about the procedure and documentation to be readily </w:t>
            </w:r>
            <w:r w:rsidR="00D95E83" w:rsidRPr="00D95E83">
              <w:t>accessible to an insured on the insurer's website.</w:t>
            </w:r>
          </w:p>
          <w:p w14:paraId="46F325E0" w14:textId="77777777" w:rsidR="001435E1" w:rsidRDefault="001435E1" w:rsidP="00400B61">
            <w:pPr>
              <w:pStyle w:val="Header"/>
              <w:jc w:val="both"/>
            </w:pPr>
          </w:p>
          <w:p w14:paraId="0C969B4B" w14:textId="77777777" w:rsidR="001435E1" w:rsidRDefault="004D4C90" w:rsidP="00400B61">
            <w:pPr>
              <w:pStyle w:val="Header"/>
              <w:jc w:val="both"/>
            </w:pPr>
            <w:r>
              <w:t xml:space="preserve">C.S.H.B. 2002 </w:t>
            </w:r>
            <w:r w:rsidRPr="001435E1">
              <w:t>applies only to a preferred provider benefit plan that is delivered, issued for delivery, or renewed on or after January 1, 2024.</w:t>
            </w:r>
          </w:p>
          <w:p w14:paraId="3EA8B6E0" w14:textId="3954FDBA" w:rsidR="00120A89" w:rsidRPr="001435E1" w:rsidRDefault="00120A89" w:rsidP="00400B61">
            <w:pPr>
              <w:pStyle w:val="Header"/>
              <w:jc w:val="both"/>
            </w:pPr>
          </w:p>
        </w:tc>
      </w:tr>
      <w:tr w:rsidR="00EB0E82" w14:paraId="5EF97309" w14:textId="77777777" w:rsidTr="00400B61">
        <w:tc>
          <w:tcPr>
            <w:tcW w:w="9360" w:type="dxa"/>
          </w:tcPr>
          <w:p w14:paraId="6BCAFC14" w14:textId="77777777" w:rsidR="008423E4" w:rsidRPr="00A8133F" w:rsidRDefault="004D4C90" w:rsidP="00400B61">
            <w:pPr>
              <w:rPr>
                <w:b/>
              </w:rPr>
            </w:pPr>
            <w:r w:rsidRPr="009C1E9A">
              <w:rPr>
                <w:b/>
                <w:u w:val="single"/>
              </w:rPr>
              <w:t>EFFECTIVE DATE</w:t>
            </w:r>
            <w:r>
              <w:rPr>
                <w:b/>
              </w:rPr>
              <w:t xml:space="preserve"> </w:t>
            </w:r>
          </w:p>
          <w:p w14:paraId="65357B48" w14:textId="77777777" w:rsidR="008423E4" w:rsidRDefault="008423E4" w:rsidP="00400B61"/>
          <w:p w14:paraId="4FC76846" w14:textId="01CCD1F3" w:rsidR="008423E4" w:rsidRPr="003624F2" w:rsidRDefault="004D4C90" w:rsidP="00400B61">
            <w:pPr>
              <w:pStyle w:val="Header"/>
              <w:tabs>
                <w:tab w:val="clear" w:pos="4320"/>
                <w:tab w:val="clear" w:pos="8640"/>
              </w:tabs>
              <w:jc w:val="both"/>
            </w:pPr>
            <w:r>
              <w:t>September 1, 2023.</w:t>
            </w:r>
          </w:p>
          <w:p w14:paraId="2FF82D95" w14:textId="77777777" w:rsidR="008423E4" w:rsidRPr="00233FDB" w:rsidRDefault="008423E4" w:rsidP="00400B61">
            <w:pPr>
              <w:rPr>
                <w:b/>
              </w:rPr>
            </w:pPr>
          </w:p>
        </w:tc>
      </w:tr>
      <w:tr w:rsidR="00EB0E82" w14:paraId="63A9DBBB" w14:textId="77777777" w:rsidTr="00400B61">
        <w:tc>
          <w:tcPr>
            <w:tcW w:w="9360" w:type="dxa"/>
          </w:tcPr>
          <w:p w14:paraId="30909D0A" w14:textId="77777777" w:rsidR="00442393" w:rsidRDefault="004D4C90" w:rsidP="00400B61">
            <w:pPr>
              <w:jc w:val="both"/>
              <w:rPr>
                <w:b/>
                <w:u w:val="single"/>
              </w:rPr>
            </w:pPr>
            <w:r>
              <w:rPr>
                <w:b/>
                <w:u w:val="single"/>
              </w:rPr>
              <w:t>COMPARISON OF INTRODUCED AND SUBSTITUTE</w:t>
            </w:r>
          </w:p>
          <w:p w14:paraId="1667FBD4" w14:textId="77777777" w:rsidR="00C12EBB" w:rsidRDefault="00C12EBB" w:rsidP="00400B61">
            <w:pPr>
              <w:jc w:val="both"/>
            </w:pPr>
          </w:p>
          <w:p w14:paraId="35F613D7" w14:textId="2327EA1D" w:rsidR="00C12EBB" w:rsidRDefault="004D4C90" w:rsidP="00400B61">
            <w:pPr>
              <w:jc w:val="both"/>
            </w:pPr>
            <w:r>
              <w:t xml:space="preserve">While C.S.H.B. 2002 may differ from the introduced in minor or nonsubstantive ways, the following summarizes the substantial differences between the introduced and </w:t>
            </w:r>
            <w:r>
              <w:t>committee substitute versions of the bill.</w:t>
            </w:r>
          </w:p>
          <w:p w14:paraId="4D4D25B0" w14:textId="23ABB1E6" w:rsidR="00C12EBB" w:rsidRDefault="00C12EBB" w:rsidP="00400B61">
            <w:pPr>
              <w:jc w:val="both"/>
            </w:pPr>
          </w:p>
          <w:p w14:paraId="0CD479AF" w14:textId="7F59EA5A" w:rsidR="00C12EBB" w:rsidRDefault="004D4C90" w:rsidP="00400B61">
            <w:pPr>
              <w:jc w:val="both"/>
            </w:pPr>
            <w:r w:rsidRPr="00C11EFB">
              <w:t xml:space="preserve">While </w:t>
            </w:r>
            <w:r w:rsidR="00AB55C4">
              <w:t xml:space="preserve">the introduced made the credit applicable to amounts paid for covered medical or health care services or supplies generally, the substitute limits application of the credit to amounts paid for covered medical or health care services or supplies that are medically necessary. </w:t>
            </w:r>
          </w:p>
          <w:p w14:paraId="7549CCBF" w14:textId="77777777" w:rsidR="00C12EBB" w:rsidRDefault="00C12EBB" w:rsidP="00400B61">
            <w:pPr>
              <w:jc w:val="both"/>
            </w:pPr>
          </w:p>
          <w:p w14:paraId="1DEB3701" w14:textId="3C63FFD7" w:rsidR="00C12EBB" w:rsidRPr="00C12EBB" w:rsidRDefault="00C12EBB" w:rsidP="00400B61">
            <w:pPr>
              <w:jc w:val="both"/>
            </w:pPr>
          </w:p>
        </w:tc>
      </w:tr>
    </w:tbl>
    <w:p w14:paraId="22BF0C2B" w14:textId="77777777" w:rsidR="008423E4" w:rsidRPr="00BE0E75" w:rsidRDefault="008423E4" w:rsidP="00400B61">
      <w:pPr>
        <w:jc w:val="both"/>
        <w:rPr>
          <w:rFonts w:ascii="Arial" w:hAnsi="Arial"/>
          <w:sz w:val="16"/>
          <w:szCs w:val="16"/>
        </w:rPr>
      </w:pPr>
    </w:p>
    <w:p w14:paraId="164296AE" w14:textId="77777777" w:rsidR="004108C3" w:rsidRPr="008423E4" w:rsidRDefault="004108C3" w:rsidP="00400B6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D42E8" w14:textId="77777777" w:rsidR="00000000" w:rsidRDefault="004D4C90">
      <w:r>
        <w:separator/>
      </w:r>
    </w:p>
  </w:endnote>
  <w:endnote w:type="continuationSeparator" w:id="0">
    <w:p w14:paraId="206A15AE" w14:textId="77777777" w:rsidR="00000000" w:rsidRDefault="004D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F28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B0E82" w14:paraId="484993C6" w14:textId="77777777" w:rsidTr="009C1E9A">
      <w:trPr>
        <w:cantSplit/>
      </w:trPr>
      <w:tc>
        <w:tcPr>
          <w:tcW w:w="0" w:type="pct"/>
        </w:tcPr>
        <w:p w14:paraId="5990ED4F" w14:textId="77777777" w:rsidR="00137D90" w:rsidRDefault="00137D90" w:rsidP="009C1E9A">
          <w:pPr>
            <w:pStyle w:val="Footer"/>
            <w:tabs>
              <w:tab w:val="clear" w:pos="8640"/>
              <w:tab w:val="right" w:pos="9360"/>
            </w:tabs>
          </w:pPr>
        </w:p>
      </w:tc>
      <w:tc>
        <w:tcPr>
          <w:tcW w:w="2395" w:type="pct"/>
        </w:tcPr>
        <w:p w14:paraId="27ECD35B" w14:textId="77777777" w:rsidR="00137D90" w:rsidRDefault="00137D90" w:rsidP="009C1E9A">
          <w:pPr>
            <w:pStyle w:val="Footer"/>
            <w:tabs>
              <w:tab w:val="clear" w:pos="8640"/>
              <w:tab w:val="right" w:pos="9360"/>
            </w:tabs>
          </w:pPr>
        </w:p>
        <w:p w14:paraId="437513DD" w14:textId="77777777" w:rsidR="001A4310" w:rsidRDefault="001A4310" w:rsidP="009C1E9A">
          <w:pPr>
            <w:pStyle w:val="Footer"/>
            <w:tabs>
              <w:tab w:val="clear" w:pos="8640"/>
              <w:tab w:val="right" w:pos="9360"/>
            </w:tabs>
          </w:pPr>
        </w:p>
        <w:p w14:paraId="7D87DBE6" w14:textId="77777777" w:rsidR="00137D90" w:rsidRDefault="00137D90" w:rsidP="009C1E9A">
          <w:pPr>
            <w:pStyle w:val="Footer"/>
            <w:tabs>
              <w:tab w:val="clear" w:pos="8640"/>
              <w:tab w:val="right" w:pos="9360"/>
            </w:tabs>
          </w:pPr>
        </w:p>
      </w:tc>
      <w:tc>
        <w:tcPr>
          <w:tcW w:w="2453" w:type="pct"/>
        </w:tcPr>
        <w:p w14:paraId="600C05DB" w14:textId="77777777" w:rsidR="00137D90" w:rsidRDefault="00137D90" w:rsidP="009C1E9A">
          <w:pPr>
            <w:pStyle w:val="Footer"/>
            <w:tabs>
              <w:tab w:val="clear" w:pos="8640"/>
              <w:tab w:val="right" w:pos="9360"/>
            </w:tabs>
            <w:jc w:val="right"/>
          </w:pPr>
        </w:p>
      </w:tc>
    </w:tr>
    <w:tr w:rsidR="00EB0E82" w14:paraId="1926631A" w14:textId="77777777" w:rsidTr="009C1E9A">
      <w:trPr>
        <w:cantSplit/>
      </w:trPr>
      <w:tc>
        <w:tcPr>
          <w:tcW w:w="0" w:type="pct"/>
        </w:tcPr>
        <w:p w14:paraId="49B6FE60" w14:textId="77777777" w:rsidR="00EC379B" w:rsidRDefault="00EC379B" w:rsidP="009C1E9A">
          <w:pPr>
            <w:pStyle w:val="Footer"/>
            <w:tabs>
              <w:tab w:val="clear" w:pos="8640"/>
              <w:tab w:val="right" w:pos="9360"/>
            </w:tabs>
          </w:pPr>
        </w:p>
      </w:tc>
      <w:tc>
        <w:tcPr>
          <w:tcW w:w="2395" w:type="pct"/>
        </w:tcPr>
        <w:p w14:paraId="0C4994DA" w14:textId="7EBF61D9" w:rsidR="00EC379B" w:rsidRPr="009C1E9A" w:rsidRDefault="004D4C90" w:rsidP="009C1E9A">
          <w:pPr>
            <w:pStyle w:val="Footer"/>
            <w:tabs>
              <w:tab w:val="clear" w:pos="8640"/>
              <w:tab w:val="right" w:pos="9360"/>
            </w:tabs>
            <w:rPr>
              <w:rFonts w:ascii="Shruti" w:hAnsi="Shruti"/>
              <w:sz w:val="22"/>
            </w:rPr>
          </w:pPr>
          <w:r>
            <w:rPr>
              <w:rFonts w:ascii="Shruti" w:hAnsi="Shruti"/>
              <w:sz w:val="22"/>
            </w:rPr>
            <w:t>88R 25235-D</w:t>
          </w:r>
        </w:p>
      </w:tc>
      <w:tc>
        <w:tcPr>
          <w:tcW w:w="2453" w:type="pct"/>
        </w:tcPr>
        <w:p w14:paraId="7DE018DA" w14:textId="5DE38682" w:rsidR="00EC379B" w:rsidRDefault="004D4C90" w:rsidP="009C1E9A">
          <w:pPr>
            <w:pStyle w:val="Footer"/>
            <w:tabs>
              <w:tab w:val="clear" w:pos="8640"/>
              <w:tab w:val="right" w:pos="9360"/>
            </w:tabs>
            <w:jc w:val="right"/>
          </w:pPr>
          <w:r>
            <w:fldChar w:fldCharType="begin"/>
          </w:r>
          <w:r>
            <w:instrText xml:space="preserve"> DOCPROPERTY  OTID  \* MERGEFORMAT </w:instrText>
          </w:r>
          <w:r>
            <w:fldChar w:fldCharType="separate"/>
          </w:r>
          <w:r w:rsidR="00400B61">
            <w:t>23.112.681</w:t>
          </w:r>
          <w:r>
            <w:fldChar w:fldCharType="end"/>
          </w:r>
        </w:p>
      </w:tc>
    </w:tr>
    <w:tr w:rsidR="00EB0E82" w14:paraId="0DCD81F6" w14:textId="77777777" w:rsidTr="009C1E9A">
      <w:trPr>
        <w:cantSplit/>
      </w:trPr>
      <w:tc>
        <w:tcPr>
          <w:tcW w:w="0" w:type="pct"/>
        </w:tcPr>
        <w:p w14:paraId="70B49251" w14:textId="77777777" w:rsidR="00EC379B" w:rsidRDefault="00EC379B" w:rsidP="009C1E9A">
          <w:pPr>
            <w:pStyle w:val="Footer"/>
            <w:tabs>
              <w:tab w:val="clear" w:pos="4320"/>
              <w:tab w:val="clear" w:pos="8640"/>
              <w:tab w:val="left" w:pos="2865"/>
            </w:tabs>
          </w:pPr>
        </w:p>
      </w:tc>
      <w:tc>
        <w:tcPr>
          <w:tcW w:w="2395" w:type="pct"/>
        </w:tcPr>
        <w:p w14:paraId="5A5E1E44" w14:textId="4B3549C2" w:rsidR="00EC379B" w:rsidRPr="009C1E9A" w:rsidRDefault="004D4C90" w:rsidP="009C1E9A">
          <w:pPr>
            <w:pStyle w:val="Footer"/>
            <w:tabs>
              <w:tab w:val="clear" w:pos="4320"/>
              <w:tab w:val="clear" w:pos="8640"/>
              <w:tab w:val="left" w:pos="2865"/>
            </w:tabs>
            <w:rPr>
              <w:rFonts w:ascii="Shruti" w:hAnsi="Shruti"/>
              <w:sz w:val="22"/>
            </w:rPr>
          </w:pPr>
          <w:r>
            <w:rPr>
              <w:rFonts w:ascii="Shruti" w:hAnsi="Shruti"/>
              <w:sz w:val="22"/>
            </w:rPr>
            <w:t>Substitute Document Number: 88R 24284</w:t>
          </w:r>
        </w:p>
      </w:tc>
      <w:tc>
        <w:tcPr>
          <w:tcW w:w="2453" w:type="pct"/>
        </w:tcPr>
        <w:p w14:paraId="67BC05D2" w14:textId="77777777" w:rsidR="00EC379B" w:rsidRDefault="00EC379B" w:rsidP="006D504F">
          <w:pPr>
            <w:pStyle w:val="Footer"/>
            <w:rPr>
              <w:rStyle w:val="PageNumber"/>
            </w:rPr>
          </w:pPr>
        </w:p>
        <w:p w14:paraId="33383171" w14:textId="77777777" w:rsidR="00EC379B" w:rsidRDefault="00EC379B" w:rsidP="009C1E9A">
          <w:pPr>
            <w:pStyle w:val="Footer"/>
            <w:tabs>
              <w:tab w:val="clear" w:pos="8640"/>
              <w:tab w:val="right" w:pos="9360"/>
            </w:tabs>
            <w:jc w:val="right"/>
          </w:pPr>
        </w:p>
      </w:tc>
    </w:tr>
    <w:tr w:rsidR="00EB0E82" w14:paraId="05EBF31F" w14:textId="77777777" w:rsidTr="009C1E9A">
      <w:trPr>
        <w:cantSplit/>
        <w:trHeight w:val="323"/>
      </w:trPr>
      <w:tc>
        <w:tcPr>
          <w:tcW w:w="0" w:type="pct"/>
          <w:gridSpan w:val="3"/>
        </w:tcPr>
        <w:p w14:paraId="1FFF7FE7" w14:textId="77777777" w:rsidR="00EC379B" w:rsidRDefault="004D4C9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7DA89FA" w14:textId="77777777" w:rsidR="00EC379B" w:rsidRDefault="00EC379B" w:rsidP="009C1E9A">
          <w:pPr>
            <w:pStyle w:val="Footer"/>
            <w:tabs>
              <w:tab w:val="clear" w:pos="8640"/>
              <w:tab w:val="right" w:pos="9360"/>
            </w:tabs>
            <w:jc w:val="center"/>
          </w:pPr>
        </w:p>
      </w:tc>
    </w:tr>
  </w:tbl>
  <w:p w14:paraId="47DAA1A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A29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4D2C3" w14:textId="77777777" w:rsidR="00000000" w:rsidRDefault="004D4C90">
      <w:r>
        <w:separator/>
      </w:r>
    </w:p>
  </w:footnote>
  <w:footnote w:type="continuationSeparator" w:id="0">
    <w:p w14:paraId="35087066" w14:textId="77777777" w:rsidR="00000000" w:rsidRDefault="004D4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1AD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C3F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426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67417"/>
    <w:multiLevelType w:val="hybridMultilevel"/>
    <w:tmpl w:val="E964544E"/>
    <w:lvl w:ilvl="0" w:tplc="428A0AC8">
      <w:start w:val="1"/>
      <w:numFmt w:val="bullet"/>
      <w:lvlText w:val=""/>
      <w:lvlJc w:val="left"/>
      <w:pPr>
        <w:tabs>
          <w:tab w:val="num" w:pos="720"/>
        </w:tabs>
        <w:ind w:left="720" w:hanging="360"/>
      </w:pPr>
      <w:rPr>
        <w:rFonts w:ascii="Symbol" w:hAnsi="Symbol" w:hint="default"/>
      </w:rPr>
    </w:lvl>
    <w:lvl w:ilvl="1" w:tplc="0E6EFFB0" w:tentative="1">
      <w:start w:val="1"/>
      <w:numFmt w:val="bullet"/>
      <w:lvlText w:val="o"/>
      <w:lvlJc w:val="left"/>
      <w:pPr>
        <w:ind w:left="1440" w:hanging="360"/>
      </w:pPr>
      <w:rPr>
        <w:rFonts w:ascii="Courier New" w:hAnsi="Courier New" w:cs="Courier New" w:hint="default"/>
      </w:rPr>
    </w:lvl>
    <w:lvl w:ilvl="2" w:tplc="B41E963A" w:tentative="1">
      <w:start w:val="1"/>
      <w:numFmt w:val="bullet"/>
      <w:lvlText w:val=""/>
      <w:lvlJc w:val="left"/>
      <w:pPr>
        <w:ind w:left="2160" w:hanging="360"/>
      </w:pPr>
      <w:rPr>
        <w:rFonts w:ascii="Wingdings" w:hAnsi="Wingdings" w:hint="default"/>
      </w:rPr>
    </w:lvl>
    <w:lvl w:ilvl="3" w:tplc="D59EBF92" w:tentative="1">
      <w:start w:val="1"/>
      <w:numFmt w:val="bullet"/>
      <w:lvlText w:val=""/>
      <w:lvlJc w:val="left"/>
      <w:pPr>
        <w:ind w:left="2880" w:hanging="360"/>
      </w:pPr>
      <w:rPr>
        <w:rFonts w:ascii="Symbol" w:hAnsi="Symbol" w:hint="default"/>
      </w:rPr>
    </w:lvl>
    <w:lvl w:ilvl="4" w:tplc="FDFC45D6" w:tentative="1">
      <w:start w:val="1"/>
      <w:numFmt w:val="bullet"/>
      <w:lvlText w:val="o"/>
      <w:lvlJc w:val="left"/>
      <w:pPr>
        <w:ind w:left="3600" w:hanging="360"/>
      </w:pPr>
      <w:rPr>
        <w:rFonts w:ascii="Courier New" w:hAnsi="Courier New" w:cs="Courier New" w:hint="default"/>
      </w:rPr>
    </w:lvl>
    <w:lvl w:ilvl="5" w:tplc="B78C284E" w:tentative="1">
      <w:start w:val="1"/>
      <w:numFmt w:val="bullet"/>
      <w:lvlText w:val=""/>
      <w:lvlJc w:val="left"/>
      <w:pPr>
        <w:ind w:left="4320" w:hanging="360"/>
      </w:pPr>
      <w:rPr>
        <w:rFonts w:ascii="Wingdings" w:hAnsi="Wingdings" w:hint="default"/>
      </w:rPr>
    </w:lvl>
    <w:lvl w:ilvl="6" w:tplc="ABD6D366" w:tentative="1">
      <w:start w:val="1"/>
      <w:numFmt w:val="bullet"/>
      <w:lvlText w:val=""/>
      <w:lvlJc w:val="left"/>
      <w:pPr>
        <w:ind w:left="5040" w:hanging="360"/>
      </w:pPr>
      <w:rPr>
        <w:rFonts w:ascii="Symbol" w:hAnsi="Symbol" w:hint="default"/>
      </w:rPr>
    </w:lvl>
    <w:lvl w:ilvl="7" w:tplc="B20C29F6" w:tentative="1">
      <w:start w:val="1"/>
      <w:numFmt w:val="bullet"/>
      <w:lvlText w:val="o"/>
      <w:lvlJc w:val="left"/>
      <w:pPr>
        <w:ind w:left="5760" w:hanging="360"/>
      </w:pPr>
      <w:rPr>
        <w:rFonts w:ascii="Courier New" w:hAnsi="Courier New" w:cs="Courier New" w:hint="default"/>
      </w:rPr>
    </w:lvl>
    <w:lvl w:ilvl="8" w:tplc="4E3250E4" w:tentative="1">
      <w:start w:val="1"/>
      <w:numFmt w:val="bullet"/>
      <w:lvlText w:val=""/>
      <w:lvlJc w:val="left"/>
      <w:pPr>
        <w:ind w:left="6480" w:hanging="360"/>
      </w:pPr>
      <w:rPr>
        <w:rFonts w:ascii="Wingdings" w:hAnsi="Wingdings" w:hint="default"/>
      </w:rPr>
    </w:lvl>
  </w:abstractNum>
  <w:num w:numId="1" w16cid:durableId="93790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0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316"/>
    <w:rsid w:val="00030AD8"/>
    <w:rsid w:val="0003107A"/>
    <w:rsid w:val="00031C95"/>
    <w:rsid w:val="000330D4"/>
    <w:rsid w:val="0003572D"/>
    <w:rsid w:val="00035DB0"/>
    <w:rsid w:val="00037088"/>
    <w:rsid w:val="000400D5"/>
    <w:rsid w:val="00043484"/>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4730"/>
    <w:rsid w:val="000F5843"/>
    <w:rsid w:val="000F6A06"/>
    <w:rsid w:val="0010154D"/>
    <w:rsid w:val="00102D3F"/>
    <w:rsid w:val="00102EC7"/>
    <w:rsid w:val="0010347D"/>
    <w:rsid w:val="00110F8C"/>
    <w:rsid w:val="0011274A"/>
    <w:rsid w:val="00113522"/>
    <w:rsid w:val="0011378D"/>
    <w:rsid w:val="00115EE9"/>
    <w:rsid w:val="001169F9"/>
    <w:rsid w:val="00120797"/>
    <w:rsid w:val="00120A89"/>
    <w:rsid w:val="001218D2"/>
    <w:rsid w:val="0012371B"/>
    <w:rsid w:val="001245C8"/>
    <w:rsid w:val="00124653"/>
    <w:rsid w:val="001247C5"/>
    <w:rsid w:val="00127893"/>
    <w:rsid w:val="001279EE"/>
    <w:rsid w:val="001312BB"/>
    <w:rsid w:val="00137D90"/>
    <w:rsid w:val="00141FB6"/>
    <w:rsid w:val="00142F8E"/>
    <w:rsid w:val="001435E1"/>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476"/>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07C"/>
    <w:rsid w:val="002C3203"/>
    <w:rsid w:val="002C3B07"/>
    <w:rsid w:val="002C532B"/>
    <w:rsid w:val="002C5713"/>
    <w:rsid w:val="002D05CC"/>
    <w:rsid w:val="002D305A"/>
    <w:rsid w:val="002E21B8"/>
    <w:rsid w:val="002E7DF9"/>
    <w:rsid w:val="002F097B"/>
    <w:rsid w:val="002F2147"/>
    <w:rsid w:val="002F3111"/>
    <w:rsid w:val="002F424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4AA0"/>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0B61"/>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2393"/>
    <w:rsid w:val="00447018"/>
    <w:rsid w:val="00450561"/>
    <w:rsid w:val="00450A40"/>
    <w:rsid w:val="00451D7C"/>
    <w:rsid w:val="00452FC3"/>
    <w:rsid w:val="00454715"/>
    <w:rsid w:val="00455936"/>
    <w:rsid w:val="00455ACE"/>
    <w:rsid w:val="004561AB"/>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32E3"/>
    <w:rsid w:val="004B138F"/>
    <w:rsid w:val="004B412A"/>
    <w:rsid w:val="004B576C"/>
    <w:rsid w:val="004B772A"/>
    <w:rsid w:val="004C0F4D"/>
    <w:rsid w:val="004C302F"/>
    <w:rsid w:val="004C4609"/>
    <w:rsid w:val="004C4B8A"/>
    <w:rsid w:val="004C52EF"/>
    <w:rsid w:val="004C5F34"/>
    <w:rsid w:val="004C600C"/>
    <w:rsid w:val="004C7888"/>
    <w:rsid w:val="004D1AC9"/>
    <w:rsid w:val="004D27DE"/>
    <w:rsid w:val="004D3F41"/>
    <w:rsid w:val="004D4C90"/>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4B37"/>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61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5C59"/>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A7682"/>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46F07"/>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25F"/>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8C1"/>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5C4"/>
    <w:rsid w:val="00AB5CCC"/>
    <w:rsid w:val="00AB74E2"/>
    <w:rsid w:val="00AC2E9A"/>
    <w:rsid w:val="00AC5AAB"/>
    <w:rsid w:val="00AC5AEC"/>
    <w:rsid w:val="00AC5F28"/>
    <w:rsid w:val="00AC6900"/>
    <w:rsid w:val="00AC78FC"/>
    <w:rsid w:val="00AD304B"/>
    <w:rsid w:val="00AD4497"/>
    <w:rsid w:val="00AD7780"/>
    <w:rsid w:val="00AE2263"/>
    <w:rsid w:val="00AE248E"/>
    <w:rsid w:val="00AE2D12"/>
    <w:rsid w:val="00AE2F06"/>
    <w:rsid w:val="00AE4F1C"/>
    <w:rsid w:val="00AE5DB9"/>
    <w:rsid w:val="00AF1433"/>
    <w:rsid w:val="00AF48B4"/>
    <w:rsid w:val="00AF4923"/>
    <w:rsid w:val="00AF7C74"/>
    <w:rsid w:val="00B000AF"/>
    <w:rsid w:val="00B04E79"/>
    <w:rsid w:val="00B051D4"/>
    <w:rsid w:val="00B07488"/>
    <w:rsid w:val="00B075A2"/>
    <w:rsid w:val="00B10DD2"/>
    <w:rsid w:val="00B115DC"/>
    <w:rsid w:val="00B11952"/>
    <w:rsid w:val="00B149AC"/>
    <w:rsid w:val="00B14BD2"/>
    <w:rsid w:val="00B1557F"/>
    <w:rsid w:val="00B1668D"/>
    <w:rsid w:val="00B17981"/>
    <w:rsid w:val="00B233BB"/>
    <w:rsid w:val="00B242D9"/>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00CA"/>
    <w:rsid w:val="00BB5B36"/>
    <w:rsid w:val="00BC027B"/>
    <w:rsid w:val="00BC30A6"/>
    <w:rsid w:val="00BC3ED3"/>
    <w:rsid w:val="00BC3EF6"/>
    <w:rsid w:val="00BC4E34"/>
    <w:rsid w:val="00BC51D0"/>
    <w:rsid w:val="00BC5633"/>
    <w:rsid w:val="00BC58E1"/>
    <w:rsid w:val="00BC59CA"/>
    <w:rsid w:val="00BC6462"/>
    <w:rsid w:val="00BD0A32"/>
    <w:rsid w:val="00BD28E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01"/>
    <w:rsid w:val="00BF4D7C"/>
    <w:rsid w:val="00BF5085"/>
    <w:rsid w:val="00C013F4"/>
    <w:rsid w:val="00C040AB"/>
    <w:rsid w:val="00C0499B"/>
    <w:rsid w:val="00C05406"/>
    <w:rsid w:val="00C05CF0"/>
    <w:rsid w:val="00C119AC"/>
    <w:rsid w:val="00C11EFB"/>
    <w:rsid w:val="00C12EBB"/>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6EC5"/>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677"/>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093F"/>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5DD7"/>
    <w:rsid w:val="00D91B92"/>
    <w:rsid w:val="00D926B3"/>
    <w:rsid w:val="00D92F63"/>
    <w:rsid w:val="00D947B6"/>
    <w:rsid w:val="00D94A53"/>
    <w:rsid w:val="00D95E8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2C4D"/>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2F39"/>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6B3"/>
    <w:rsid w:val="00EA385A"/>
    <w:rsid w:val="00EA3931"/>
    <w:rsid w:val="00EA658E"/>
    <w:rsid w:val="00EA7A88"/>
    <w:rsid w:val="00EB0E82"/>
    <w:rsid w:val="00EB27F2"/>
    <w:rsid w:val="00EB3928"/>
    <w:rsid w:val="00EB5373"/>
    <w:rsid w:val="00EC02A2"/>
    <w:rsid w:val="00EC3731"/>
    <w:rsid w:val="00EC379B"/>
    <w:rsid w:val="00EC37DF"/>
    <w:rsid w:val="00EC3A99"/>
    <w:rsid w:val="00EC41B1"/>
    <w:rsid w:val="00ED01A5"/>
    <w:rsid w:val="00ED0665"/>
    <w:rsid w:val="00ED12C0"/>
    <w:rsid w:val="00ED19F0"/>
    <w:rsid w:val="00ED2B50"/>
    <w:rsid w:val="00ED3A32"/>
    <w:rsid w:val="00ED3BDE"/>
    <w:rsid w:val="00ED68FB"/>
    <w:rsid w:val="00ED783A"/>
    <w:rsid w:val="00EE0366"/>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6BB4"/>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6206"/>
    <w:rsid w:val="00F67981"/>
    <w:rsid w:val="00F706CA"/>
    <w:rsid w:val="00F70F8D"/>
    <w:rsid w:val="00F71C5A"/>
    <w:rsid w:val="00F733A4"/>
    <w:rsid w:val="00F74C2E"/>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A4D065-2BA8-4FF5-AE9B-E1141015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435E1"/>
    <w:rPr>
      <w:sz w:val="16"/>
      <w:szCs w:val="16"/>
    </w:rPr>
  </w:style>
  <w:style w:type="paragraph" w:styleId="CommentText">
    <w:name w:val="annotation text"/>
    <w:basedOn w:val="Normal"/>
    <w:link w:val="CommentTextChar"/>
    <w:semiHidden/>
    <w:unhideWhenUsed/>
    <w:rsid w:val="001435E1"/>
    <w:rPr>
      <w:sz w:val="20"/>
      <w:szCs w:val="20"/>
    </w:rPr>
  </w:style>
  <w:style w:type="character" w:customStyle="1" w:styleId="CommentTextChar">
    <w:name w:val="Comment Text Char"/>
    <w:basedOn w:val="DefaultParagraphFont"/>
    <w:link w:val="CommentText"/>
    <w:semiHidden/>
    <w:rsid w:val="001435E1"/>
  </w:style>
  <w:style w:type="paragraph" w:styleId="CommentSubject">
    <w:name w:val="annotation subject"/>
    <w:basedOn w:val="CommentText"/>
    <w:next w:val="CommentText"/>
    <w:link w:val="CommentSubjectChar"/>
    <w:semiHidden/>
    <w:unhideWhenUsed/>
    <w:rsid w:val="001435E1"/>
    <w:rPr>
      <w:b/>
      <w:bCs/>
    </w:rPr>
  </w:style>
  <w:style w:type="character" w:customStyle="1" w:styleId="CommentSubjectChar">
    <w:name w:val="Comment Subject Char"/>
    <w:basedOn w:val="CommentTextChar"/>
    <w:link w:val="CommentSubject"/>
    <w:semiHidden/>
    <w:rsid w:val="001435E1"/>
    <w:rPr>
      <w:b/>
      <w:bCs/>
    </w:rPr>
  </w:style>
  <w:style w:type="paragraph" w:styleId="Revision">
    <w:name w:val="Revision"/>
    <w:hidden/>
    <w:uiPriority w:val="99"/>
    <w:semiHidden/>
    <w:rsid w:val="00C46EC5"/>
    <w:rPr>
      <w:sz w:val="24"/>
      <w:szCs w:val="24"/>
    </w:rPr>
  </w:style>
  <w:style w:type="character" w:styleId="Hyperlink">
    <w:name w:val="Hyperlink"/>
    <w:basedOn w:val="DefaultParagraphFont"/>
    <w:unhideWhenUsed/>
    <w:rsid w:val="00120A89"/>
    <w:rPr>
      <w:color w:val="0000FF" w:themeColor="hyperlink"/>
      <w:u w:val="single"/>
    </w:rPr>
  </w:style>
  <w:style w:type="character" w:customStyle="1" w:styleId="UnresolvedMention1">
    <w:name w:val="Unresolved Mention1"/>
    <w:basedOn w:val="DefaultParagraphFont"/>
    <w:uiPriority w:val="99"/>
    <w:semiHidden/>
    <w:unhideWhenUsed/>
    <w:rsid w:val="00120A89"/>
    <w:rPr>
      <w:color w:val="605E5C"/>
      <w:shd w:val="clear" w:color="auto" w:fill="E1DFDD"/>
    </w:rPr>
  </w:style>
  <w:style w:type="character" w:styleId="FollowedHyperlink">
    <w:name w:val="FollowedHyperlink"/>
    <w:basedOn w:val="DefaultParagraphFont"/>
    <w:semiHidden/>
    <w:unhideWhenUsed/>
    <w:rsid w:val="00120A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2971</Characters>
  <Application>Microsoft Office Word</Application>
  <DocSecurity>4</DocSecurity>
  <Lines>75</Lines>
  <Paragraphs>23</Paragraphs>
  <ScaleCrop>false</ScaleCrop>
  <HeadingPairs>
    <vt:vector size="2" baseType="variant">
      <vt:variant>
        <vt:lpstr>Title</vt:lpstr>
      </vt:variant>
      <vt:variant>
        <vt:i4>1</vt:i4>
      </vt:variant>
    </vt:vector>
  </HeadingPairs>
  <TitlesOfParts>
    <vt:vector size="1" baseType="lpstr">
      <vt:lpstr>BA - HB02002 (Committee Report (Substituted))</vt:lpstr>
    </vt:vector>
  </TitlesOfParts>
  <Company>State of Texas</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25235</dc:subject>
  <dc:creator>State of Texas</dc:creator>
  <dc:description>HB 2002 by Oliverson-(H)Health Care Reform, Select (Substitute Document Number: 88R 24284)</dc:description>
  <cp:lastModifiedBy>Stacey Nicchio</cp:lastModifiedBy>
  <cp:revision>2</cp:revision>
  <cp:lastPrinted>2003-11-26T17:21:00Z</cp:lastPrinted>
  <dcterms:created xsi:type="dcterms:W3CDTF">2023-04-25T16:35:00Z</dcterms:created>
  <dcterms:modified xsi:type="dcterms:W3CDTF">2023-04-25T16:35:00Z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23.112.681</vt:lpwstr>
  </property>
</Properties>
</file>