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018DF" w14:paraId="2E058BAD" w14:textId="77777777" w:rsidTr="00345119">
        <w:tc>
          <w:tcPr>
            <w:tcW w:w="9576" w:type="dxa"/>
            <w:noWrap/>
          </w:tcPr>
          <w:p w14:paraId="05E7F097" w14:textId="77777777" w:rsidR="008423E4" w:rsidRPr="0022177D" w:rsidRDefault="00CD761F" w:rsidP="002A7F66">
            <w:pPr>
              <w:pStyle w:val="Heading1"/>
            </w:pPr>
            <w:r w:rsidRPr="00631897">
              <w:t>BILL ANALYSIS</w:t>
            </w:r>
          </w:p>
        </w:tc>
      </w:tr>
    </w:tbl>
    <w:p w14:paraId="25CC35E1" w14:textId="77777777" w:rsidR="008423E4" w:rsidRPr="0022177D" w:rsidRDefault="008423E4" w:rsidP="002A7F66">
      <w:pPr>
        <w:jc w:val="center"/>
      </w:pPr>
    </w:p>
    <w:p w14:paraId="263BBDE6" w14:textId="77777777" w:rsidR="008423E4" w:rsidRPr="00B31F0E" w:rsidRDefault="008423E4" w:rsidP="002A7F66"/>
    <w:p w14:paraId="5CF0ED21" w14:textId="77777777" w:rsidR="008423E4" w:rsidRPr="00742794" w:rsidRDefault="008423E4" w:rsidP="002A7F66">
      <w:pPr>
        <w:tabs>
          <w:tab w:val="right" w:pos="9360"/>
        </w:tabs>
      </w:pPr>
    </w:p>
    <w:tbl>
      <w:tblPr>
        <w:tblW w:w="0" w:type="auto"/>
        <w:tblLayout w:type="fixed"/>
        <w:tblLook w:val="01E0" w:firstRow="1" w:lastRow="1" w:firstColumn="1" w:lastColumn="1" w:noHBand="0" w:noVBand="0"/>
      </w:tblPr>
      <w:tblGrid>
        <w:gridCol w:w="9576"/>
      </w:tblGrid>
      <w:tr w:rsidR="006018DF" w14:paraId="43918087" w14:textId="77777777" w:rsidTr="00345119">
        <w:tc>
          <w:tcPr>
            <w:tcW w:w="9576" w:type="dxa"/>
          </w:tcPr>
          <w:p w14:paraId="21C5FD42" w14:textId="0B5D53D1" w:rsidR="008423E4" w:rsidRPr="00861995" w:rsidRDefault="00CD761F" w:rsidP="002A7F66">
            <w:pPr>
              <w:jc w:val="right"/>
            </w:pPr>
            <w:r>
              <w:t>H.B. 2008</w:t>
            </w:r>
          </w:p>
        </w:tc>
      </w:tr>
      <w:tr w:rsidR="006018DF" w14:paraId="57BA75D7" w14:textId="77777777" w:rsidTr="00345119">
        <w:tc>
          <w:tcPr>
            <w:tcW w:w="9576" w:type="dxa"/>
          </w:tcPr>
          <w:p w14:paraId="3FFC93AF" w14:textId="411DD6C4" w:rsidR="008423E4" w:rsidRPr="00861995" w:rsidRDefault="00CD761F" w:rsidP="002A7F66">
            <w:pPr>
              <w:jc w:val="right"/>
            </w:pPr>
            <w:r>
              <w:t xml:space="preserve">By: </w:t>
            </w:r>
            <w:r w:rsidR="0082045E">
              <w:t>Harless</w:t>
            </w:r>
          </w:p>
        </w:tc>
      </w:tr>
      <w:tr w:rsidR="006018DF" w14:paraId="03EDB0C6" w14:textId="77777777" w:rsidTr="00345119">
        <w:tc>
          <w:tcPr>
            <w:tcW w:w="9576" w:type="dxa"/>
          </w:tcPr>
          <w:p w14:paraId="2747AE12" w14:textId="207AB88B" w:rsidR="008423E4" w:rsidRPr="00861995" w:rsidRDefault="00CD761F" w:rsidP="002A7F66">
            <w:pPr>
              <w:jc w:val="right"/>
            </w:pPr>
            <w:r>
              <w:t>Criminal Jurisprudence</w:t>
            </w:r>
          </w:p>
        </w:tc>
      </w:tr>
      <w:tr w:rsidR="006018DF" w14:paraId="24BF93BB" w14:textId="77777777" w:rsidTr="00345119">
        <w:tc>
          <w:tcPr>
            <w:tcW w:w="9576" w:type="dxa"/>
          </w:tcPr>
          <w:p w14:paraId="50A3534D" w14:textId="4CE22F1B" w:rsidR="008423E4" w:rsidRDefault="00CD761F" w:rsidP="002A7F66">
            <w:pPr>
              <w:jc w:val="right"/>
            </w:pPr>
            <w:r>
              <w:t>Committee Report (Unamended)</w:t>
            </w:r>
          </w:p>
        </w:tc>
      </w:tr>
    </w:tbl>
    <w:p w14:paraId="64932FD8" w14:textId="77777777" w:rsidR="008423E4" w:rsidRDefault="008423E4" w:rsidP="002A7F66">
      <w:pPr>
        <w:tabs>
          <w:tab w:val="right" w:pos="9360"/>
        </w:tabs>
      </w:pPr>
    </w:p>
    <w:p w14:paraId="7D9F532C" w14:textId="77777777" w:rsidR="008423E4" w:rsidRDefault="008423E4" w:rsidP="002A7F66"/>
    <w:p w14:paraId="6446B9CA" w14:textId="77777777" w:rsidR="008423E4" w:rsidRDefault="008423E4" w:rsidP="002A7F66"/>
    <w:tbl>
      <w:tblPr>
        <w:tblW w:w="0" w:type="auto"/>
        <w:tblCellMar>
          <w:left w:w="115" w:type="dxa"/>
          <w:right w:w="115" w:type="dxa"/>
        </w:tblCellMar>
        <w:tblLook w:val="01E0" w:firstRow="1" w:lastRow="1" w:firstColumn="1" w:lastColumn="1" w:noHBand="0" w:noVBand="0"/>
      </w:tblPr>
      <w:tblGrid>
        <w:gridCol w:w="9360"/>
      </w:tblGrid>
      <w:tr w:rsidR="006018DF" w14:paraId="73C03A8B" w14:textId="77777777" w:rsidTr="00345119">
        <w:tc>
          <w:tcPr>
            <w:tcW w:w="9576" w:type="dxa"/>
          </w:tcPr>
          <w:p w14:paraId="08526F80" w14:textId="77777777" w:rsidR="008423E4" w:rsidRPr="00A8133F" w:rsidRDefault="00CD761F" w:rsidP="002A7F66">
            <w:pPr>
              <w:rPr>
                <w:b/>
              </w:rPr>
            </w:pPr>
            <w:r w:rsidRPr="009C1E9A">
              <w:rPr>
                <w:b/>
                <w:u w:val="single"/>
              </w:rPr>
              <w:t>BACKGROUND AND PURPOSE</w:t>
            </w:r>
            <w:r>
              <w:rPr>
                <w:b/>
              </w:rPr>
              <w:t xml:space="preserve"> </w:t>
            </w:r>
          </w:p>
          <w:p w14:paraId="5D8C314E" w14:textId="77777777" w:rsidR="008423E4" w:rsidRDefault="008423E4" w:rsidP="002A7F66"/>
          <w:p w14:paraId="664C52D4" w14:textId="5219D5CA" w:rsidR="008423E4" w:rsidRDefault="00CD761F" w:rsidP="002A7F66">
            <w:pPr>
              <w:pStyle w:val="Header"/>
              <w:tabs>
                <w:tab w:val="clear" w:pos="4320"/>
                <w:tab w:val="clear" w:pos="8640"/>
              </w:tabs>
              <w:jc w:val="both"/>
            </w:pPr>
            <w:r>
              <w:t xml:space="preserve">Current state law requires the Department of Public Safety (DPS) to automatically suspend a driver's license after a person </w:t>
            </w:r>
            <w:r>
              <w:t>receives a citation for a moving violation while driving with a suspended, canceled, revoked, or denied license. In 2019, the Texas Legislature passed H.B.</w:t>
            </w:r>
            <w:r w:rsidR="00362853">
              <w:t> </w:t>
            </w:r>
            <w:r>
              <w:t>162, which changed the suspension period for driving with an invalid license and other minor offense</w:t>
            </w:r>
            <w:r>
              <w:t>s under Section</w:t>
            </w:r>
            <w:r w:rsidR="00362853">
              <w:t> </w:t>
            </w:r>
            <w:r>
              <w:t>521.292, Transportation Code</w:t>
            </w:r>
            <w:r w:rsidR="00A919DB">
              <w:t>,</w:t>
            </w:r>
            <w:r>
              <w:t xml:space="preserve"> to 90 days. DPS, however, also suspends driver's licenses for driving with an invalid license under Section</w:t>
            </w:r>
            <w:r w:rsidR="00362853">
              <w:t> </w:t>
            </w:r>
            <w:r>
              <w:t>521.343, Transportation Code, which H.B.</w:t>
            </w:r>
            <w:r w:rsidR="00362853">
              <w:t> </w:t>
            </w:r>
            <w:r>
              <w:t>162 did not address. Specifically, if a person is convicted o</w:t>
            </w:r>
            <w:r>
              <w:t xml:space="preserve">f driving </w:t>
            </w:r>
            <w:r w:rsidR="0082045E">
              <w:t>with an invalid license</w:t>
            </w:r>
            <w:r w:rsidR="00886FDB">
              <w:t xml:space="preserve"> under the latter statute</w:t>
            </w:r>
            <w:r>
              <w:t xml:space="preserve">, the suspension period is extended for the same duration as the original infraction, with a maximum </w:t>
            </w:r>
            <w:r w:rsidR="0082045E">
              <w:t xml:space="preserve">suspension period </w:t>
            </w:r>
            <w:r>
              <w:t>of two years, rather than the 90 days established by H.B.</w:t>
            </w:r>
            <w:r w:rsidR="00362853">
              <w:t> </w:t>
            </w:r>
            <w:r>
              <w:t>162. This means that,</w:t>
            </w:r>
            <w:r>
              <w:t xml:space="preserve"> for example, if a person pleads guilty to a Class</w:t>
            </w:r>
            <w:r w:rsidR="00362853">
              <w:t> </w:t>
            </w:r>
            <w:r>
              <w:t>C traffic citation for driving with an invalid license, DPS will add another suspension for up to two years, depending on the original infraction that caused the license to be invalid. Even if the citation</w:t>
            </w:r>
            <w:r>
              <w:t xml:space="preserve"> is many years old, the new suspension period will start upon conviction, effectively punishing the person for coming to court to take care of the old ticket. H.B.</w:t>
            </w:r>
            <w:r w:rsidR="00362853">
              <w:t> </w:t>
            </w:r>
            <w:r>
              <w:t xml:space="preserve">2008 seeks to establish a </w:t>
            </w:r>
            <w:r w:rsidR="0082045E">
              <w:t>fixed</w:t>
            </w:r>
            <w:r>
              <w:t xml:space="preserve"> 90-day period </w:t>
            </w:r>
            <w:r w:rsidR="0082045E" w:rsidRPr="0082045E">
              <w:t>during which the disqualification or suspension of a person's driver's license is extended as a result of the person being convicted of driving while their license is invalid</w:t>
            </w:r>
            <w:r w:rsidR="0082045E">
              <w:t>.</w:t>
            </w:r>
          </w:p>
          <w:p w14:paraId="19127286" w14:textId="77777777" w:rsidR="008423E4" w:rsidRPr="00E26B13" w:rsidRDefault="008423E4" w:rsidP="002A7F66">
            <w:pPr>
              <w:rPr>
                <w:b/>
              </w:rPr>
            </w:pPr>
          </w:p>
        </w:tc>
      </w:tr>
      <w:tr w:rsidR="006018DF" w14:paraId="1DA5A9F7" w14:textId="77777777" w:rsidTr="00345119">
        <w:tc>
          <w:tcPr>
            <w:tcW w:w="9576" w:type="dxa"/>
          </w:tcPr>
          <w:p w14:paraId="3092EBB8" w14:textId="77777777" w:rsidR="0017725B" w:rsidRDefault="00CD761F" w:rsidP="002A7F66">
            <w:pPr>
              <w:rPr>
                <w:b/>
                <w:u w:val="single"/>
              </w:rPr>
            </w:pPr>
            <w:r>
              <w:rPr>
                <w:b/>
                <w:u w:val="single"/>
              </w:rPr>
              <w:t>CRIMINAL JUSTICE IMPACT</w:t>
            </w:r>
          </w:p>
          <w:p w14:paraId="0F69CA30" w14:textId="77777777" w:rsidR="0017725B" w:rsidRDefault="0017725B" w:rsidP="002A7F66">
            <w:pPr>
              <w:rPr>
                <w:b/>
                <w:u w:val="single"/>
              </w:rPr>
            </w:pPr>
          </w:p>
          <w:p w14:paraId="43993C82" w14:textId="68B32C61" w:rsidR="00044C60" w:rsidRPr="00044C60" w:rsidRDefault="00CD761F" w:rsidP="002A7F66">
            <w:pPr>
              <w:jc w:val="both"/>
            </w:pPr>
            <w:r>
              <w:t>It is the committee's opinion that this bill does not expressly create a criminal offense, increase</w:t>
            </w:r>
            <w:r>
              <w:t xml:space="preserve"> the punishment for an existing criminal offense or category of offenses, or change the eligibility of a person for community supervision, parole, or mandatory supervision.</w:t>
            </w:r>
          </w:p>
          <w:p w14:paraId="50566676" w14:textId="77777777" w:rsidR="0017725B" w:rsidRPr="0017725B" w:rsidRDefault="0017725B" w:rsidP="002A7F66">
            <w:pPr>
              <w:rPr>
                <w:b/>
                <w:u w:val="single"/>
              </w:rPr>
            </w:pPr>
          </w:p>
        </w:tc>
      </w:tr>
      <w:tr w:rsidR="006018DF" w14:paraId="5991654E" w14:textId="77777777" w:rsidTr="00345119">
        <w:tc>
          <w:tcPr>
            <w:tcW w:w="9576" w:type="dxa"/>
          </w:tcPr>
          <w:p w14:paraId="77762E30" w14:textId="77777777" w:rsidR="008423E4" w:rsidRPr="00A8133F" w:rsidRDefault="00CD761F" w:rsidP="002A7F66">
            <w:pPr>
              <w:rPr>
                <w:b/>
              </w:rPr>
            </w:pPr>
            <w:r w:rsidRPr="009C1E9A">
              <w:rPr>
                <w:b/>
                <w:u w:val="single"/>
              </w:rPr>
              <w:t>RULEMAKING AUTHORITY</w:t>
            </w:r>
            <w:r>
              <w:rPr>
                <w:b/>
              </w:rPr>
              <w:t xml:space="preserve"> </w:t>
            </w:r>
          </w:p>
          <w:p w14:paraId="0BD6CFE4" w14:textId="77777777" w:rsidR="008423E4" w:rsidRDefault="008423E4" w:rsidP="002A7F66"/>
          <w:p w14:paraId="5288778D" w14:textId="585F2D4B" w:rsidR="00044C60" w:rsidRDefault="00CD761F" w:rsidP="002A7F66">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44C5210A" w14:textId="77777777" w:rsidR="008423E4" w:rsidRPr="00E21FDC" w:rsidRDefault="008423E4" w:rsidP="002A7F66">
            <w:pPr>
              <w:rPr>
                <w:b/>
              </w:rPr>
            </w:pPr>
          </w:p>
        </w:tc>
      </w:tr>
      <w:tr w:rsidR="006018DF" w14:paraId="02BF9E81" w14:textId="77777777" w:rsidTr="00345119">
        <w:tc>
          <w:tcPr>
            <w:tcW w:w="9576" w:type="dxa"/>
          </w:tcPr>
          <w:p w14:paraId="39E85806" w14:textId="77777777" w:rsidR="008423E4" w:rsidRPr="00A8133F" w:rsidRDefault="00CD761F" w:rsidP="002A7F66">
            <w:pPr>
              <w:rPr>
                <w:b/>
              </w:rPr>
            </w:pPr>
            <w:r w:rsidRPr="009C1E9A">
              <w:rPr>
                <w:b/>
                <w:u w:val="single"/>
              </w:rPr>
              <w:t>ANALYSIS</w:t>
            </w:r>
            <w:r>
              <w:rPr>
                <w:b/>
              </w:rPr>
              <w:t xml:space="preserve"> </w:t>
            </w:r>
          </w:p>
          <w:p w14:paraId="2185AD3B" w14:textId="5659849D" w:rsidR="008423E4" w:rsidRDefault="008423E4" w:rsidP="002A7F66"/>
          <w:p w14:paraId="1278FF06" w14:textId="0471E80F" w:rsidR="00300D38" w:rsidRDefault="00CD761F" w:rsidP="002A7F66">
            <w:pPr>
              <w:jc w:val="both"/>
            </w:pPr>
            <w:r>
              <w:t xml:space="preserve">H.B. 2008 amends the Transportation Code to </w:t>
            </w:r>
            <w:r w:rsidR="006C175E">
              <w:t xml:space="preserve">change the duration of </w:t>
            </w:r>
            <w:r w:rsidR="0040664D">
              <w:t xml:space="preserve">the period </w:t>
            </w:r>
            <w:r w:rsidR="006C175E">
              <w:t xml:space="preserve">during which the disqualification or suspension of </w:t>
            </w:r>
            <w:r w:rsidR="0040664D">
              <w:t>a</w:t>
            </w:r>
            <w:r>
              <w:t xml:space="preserve"> </w:t>
            </w:r>
            <w:r w:rsidR="003C30F4">
              <w:t xml:space="preserve">person's </w:t>
            </w:r>
            <w:r w:rsidR="006C175E">
              <w:t xml:space="preserve">driver's </w:t>
            </w:r>
            <w:r>
              <w:t>license</w:t>
            </w:r>
            <w:r w:rsidR="00886FDB">
              <w:t xml:space="preserve"> based on a conviction that requires automatic suspension</w:t>
            </w:r>
            <w:r>
              <w:t xml:space="preserve"> </w:t>
            </w:r>
            <w:r w:rsidR="006C175E">
              <w:t xml:space="preserve">is extended as a result of </w:t>
            </w:r>
            <w:r w:rsidR="0055729B">
              <w:t>the person</w:t>
            </w:r>
            <w:r w:rsidR="006C175E">
              <w:t xml:space="preserve"> being</w:t>
            </w:r>
            <w:r w:rsidRPr="00300D38">
              <w:t xml:space="preserve"> convicted of </w:t>
            </w:r>
            <w:r w:rsidR="003C30F4">
              <w:t xml:space="preserve">driving </w:t>
            </w:r>
            <w:r w:rsidRPr="00300D38">
              <w:t>while the</w:t>
            </w:r>
            <w:r w:rsidR="006C175E">
              <w:t>ir</w:t>
            </w:r>
            <w:r w:rsidRPr="00300D38">
              <w:t xml:space="preserve"> license is </w:t>
            </w:r>
            <w:r w:rsidR="00E35E27">
              <w:t>invalid</w:t>
            </w:r>
            <w:r w:rsidR="0040664D">
              <w:t xml:space="preserve"> </w:t>
            </w:r>
            <w:r w:rsidR="006C175E">
              <w:t>from</w:t>
            </w:r>
            <w:r w:rsidR="0040664D">
              <w:t xml:space="preserve"> </w:t>
            </w:r>
            <w:r w:rsidR="003C30F4">
              <w:t xml:space="preserve">a period that runs </w:t>
            </w:r>
            <w:r w:rsidR="0040664D">
              <w:t xml:space="preserve">the same term as the original </w:t>
            </w:r>
            <w:r w:rsidR="003C30F4">
              <w:t xml:space="preserve">disqualification or </w:t>
            </w:r>
            <w:r w:rsidR="0040664D">
              <w:t>suspension</w:t>
            </w:r>
            <w:r>
              <w:t xml:space="preserve"> </w:t>
            </w:r>
            <w:r w:rsidR="006C175E">
              <w:t>to a fixed period of 90 days</w:t>
            </w:r>
            <w:r w:rsidR="0040664D">
              <w:t xml:space="preserve">. </w:t>
            </w:r>
            <w:r w:rsidR="00E35E27">
              <w:t>This change</w:t>
            </w:r>
            <w:r w:rsidRPr="00300D38">
              <w:t xml:space="preserve"> applies only to a determination of suspension or disqualification made by the Department of Public Safety on or after the</w:t>
            </w:r>
            <w:r w:rsidR="001A0641">
              <w:t xml:space="preserve"> bill</w:t>
            </w:r>
            <w:r w:rsidR="00053E5E">
              <w:t>'</w:t>
            </w:r>
            <w:r w:rsidR="001A0641">
              <w:t>s</w:t>
            </w:r>
            <w:r w:rsidRPr="00300D38">
              <w:t xml:space="preserve"> effective date</w:t>
            </w:r>
            <w:r w:rsidR="008B4291">
              <w:t>.</w:t>
            </w:r>
          </w:p>
          <w:p w14:paraId="3DCD298B" w14:textId="77777777" w:rsidR="008423E4" w:rsidRPr="00835628" w:rsidRDefault="008423E4" w:rsidP="002A7F66">
            <w:pPr>
              <w:rPr>
                <w:b/>
              </w:rPr>
            </w:pPr>
          </w:p>
        </w:tc>
      </w:tr>
      <w:tr w:rsidR="006018DF" w14:paraId="678A9000" w14:textId="77777777" w:rsidTr="00345119">
        <w:tc>
          <w:tcPr>
            <w:tcW w:w="9576" w:type="dxa"/>
          </w:tcPr>
          <w:p w14:paraId="0C3068A6" w14:textId="77777777" w:rsidR="008423E4" w:rsidRPr="00A8133F" w:rsidRDefault="00CD761F" w:rsidP="002A7F66">
            <w:pPr>
              <w:rPr>
                <w:b/>
              </w:rPr>
            </w:pPr>
            <w:r w:rsidRPr="009C1E9A">
              <w:rPr>
                <w:b/>
                <w:u w:val="single"/>
              </w:rPr>
              <w:t>EFFECT</w:t>
            </w:r>
            <w:r w:rsidRPr="009C1E9A">
              <w:rPr>
                <w:b/>
                <w:u w:val="single"/>
              </w:rPr>
              <w:t>IVE DATE</w:t>
            </w:r>
            <w:r>
              <w:rPr>
                <w:b/>
              </w:rPr>
              <w:t xml:space="preserve"> </w:t>
            </w:r>
          </w:p>
          <w:p w14:paraId="382B5B1C" w14:textId="77777777" w:rsidR="008423E4" w:rsidRDefault="008423E4" w:rsidP="002A7F66"/>
          <w:p w14:paraId="77D2A82C" w14:textId="2A5256FF" w:rsidR="008423E4" w:rsidRPr="002A7F66" w:rsidRDefault="00CD761F" w:rsidP="002A7F66">
            <w:pPr>
              <w:pStyle w:val="Header"/>
              <w:tabs>
                <w:tab w:val="clear" w:pos="4320"/>
                <w:tab w:val="clear" w:pos="8640"/>
              </w:tabs>
              <w:jc w:val="both"/>
            </w:pPr>
            <w:r>
              <w:t>September 1, 2023.</w:t>
            </w:r>
          </w:p>
        </w:tc>
      </w:tr>
    </w:tbl>
    <w:p w14:paraId="62594A0C" w14:textId="77777777" w:rsidR="004108C3" w:rsidRPr="008423E4" w:rsidRDefault="004108C3" w:rsidP="002A7F66"/>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D7B6" w14:textId="77777777" w:rsidR="00000000" w:rsidRDefault="00CD761F">
      <w:r>
        <w:separator/>
      </w:r>
    </w:p>
  </w:endnote>
  <w:endnote w:type="continuationSeparator" w:id="0">
    <w:p w14:paraId="64DE25E7" w14:textId="77777777" w:rsidR="00000000" w:rsidRDefault="00CD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A4C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018DF" w14:paraId="77B9B915" w14:textId="77777777" w:rsidTr="009C1E9A">
      <w:trPr>
        <w:cantSplit/>
      </w:trPr>
      <w:tc>
        <w:tcPr>
          <w:tcW w:w="0" w:type="pct"/>
        </w:tcPr>
        <w:p w14:paraId="28BE2799" w14:textId="77777777" w:rsidR="00137D90" w:rsidRDefault="00137D90" w:rsidP="009C1E9A">
          <w:pPr>
            <w:pStyle w:val="Footer"/>
            <w:tabs>
              <w:tab w:val="clear" w:pos="8640"/>
              <w:tab w:val="right" w:pos="9360"/>
            </w:tabs>
          </w:pPr>
        </w:p>
      </w:tc>
      <w:tc>
        <w:tcPr>
          <w:tcW w:w="2395" w:type="pct"/>
        </w:tcPr>
        <w:p w14:paraId="2201F2DF" w14:textId="77777777" w:rsidR="00137D90" w:rsidRDefault="00137D90" w:rsidP="009C1E9A">
          <w:pPr>
            <w:pStyle w:val="Footer"/>
            <w:tabs>
              <w:tab w:val="clear" w:pos="8640"/>
              <w:tab w:val="right" w:pos="9360"/>
            </w:tabs>
          </w:pPr>
        </w:p>
        <w:p w14:paraId="3FCF2A21" w14:textId="77777777" w:rsidR="001A4310" w:rsidRDefault="001A4310" w:rsidP="009C1E9A">
          <w:pPr>
            <w:pStyle w:val="Footer"/>
            <w:tabs>
              <w:tab w:val="clear" w:pos="8640"/>
              <w:tab w:val="right" w:pos="9360"/>
            </w:tabs>
          </w:pPr>
        </w:p>
        <w:p w14:paraId="09901B05" w14:textId="77777777" w:rsidR="00137D90" w:rsidRDefault="00137D90" w:rsidP="009C1E9A">
          <w:pPr>
            <w:pStyle w:val="Footer"/>
            <w:tabs>
              <w:tab w:val="clear" w:pos="8640"/>
              <w:tab w:val="right" w:pos="9360"/>
            </w:tabs>
          </w:pPr>
        </w:p>
      </w:tc>
      <w:tc>
        <w:tcPr>
          <w:tcW w:w="2453" w:type="pct"/>
        </w:tcPr>
        <w:p w14:paraId="786938EC" w14:textId="77777777" w:rsidR="00137D90" w:rsidRDefault="00137D90" w:rsidP="009C1E9A">
          <w:pPr>
            <w:pStyle w:val="Footer"/>
            <w:tabs>
              <w:tab w:val="clear" w:pos="8640"/>
              <w:tab w:val="right" w:pos="9360"/>
            </w:tabs>
            <w:jc w:val="right"/>
          </w:pPr>
        </w:p>
      </w:tc>
    </w:tr>
    <w:tr w:rsidR="006018DF" w14:paraId="551B773A" w14:textId="77777777" w:rsidTr="009C1E9A">
      <w:trPr>
        <w:cantSplit/>
      </w:trPr>
      <w:tc>
        <w:tcPr>
          <w:tcW w:w="0" w:type="pct"/>
        </w:tcPr>
        <w:p w14:paraId="2AFE4481" w14:textId="77777777" w:rsidR="00EC379B" w:rsidRDefault="00EC379B" w:rsidP="009C1E9A">
          <w:pPr>
            <w:pStyle w:val="Footer"/>
            <w:tabs>
              <w:tab w:val="clear" w:pos="8640"/>
              <w:tab w:val="right" w:pos="9360"/>
            </w:tabs>
          </w:pPr>
        </w:p>
      </w:tc>
      <w:tc>
        <w:tcPr>
          <w:tcW w:w="2395" w:type="pct"/>
        </w:tcPr>
        <w:p w14:paraId="7796D5A9" w14:textId="69E79C78" w:rsidR="00EC379B" w:rsidRPr="009C1E9A" w:rsidRDefault="00CD761F" w:rsidP="009C1E9A">
          <w:pPr>
            <w:pStyle w:val="Footer"/>
            <w:tabs>
              <w:tab w:val="clear" w:pos="8640"/>
              <w:tab w:val="right" w:pos="9360"/>
            </w:tabs>
            <w:rPr>
              <w:rFonts w:ascii="Shruti" w:hAnsi="Shruti"/>
              <w:sz w:val="22"/>
            </w:rPr>
          </w:pPr>
          <w:r>
            <w:rPr>
              <w:rFonts w:ascii="Shruti" w:hAnsi="Shruti"/>
              <w:sz w:val="22"/>
            </w:rPr>
            <w:t>88R 24503-D</w:t>
          </w:r>
        </w:p>
      </w:tc>
      <w:tc>
        <w:tcPr>
          <w:tcW w:w="2453" w:type="pct"/>
        </w:tcPr>
        <w:p w14:paraId="708FBB90" w14:textId="442B7D3A" w:rsidR="00EC379B" w:rsidRDefault="00CD761F" w:rsidP="009C1E9A">
          <w:pPr>
            <w:pStyle w:val="Footer"/>
            <w:tabs>
              <w:tab w:val="clear" w:pos="8640"/>
              <w:tab w:val="right" w:pos="9360"/>
            </w:tabs>
            <w:jc w:val="right"/>
          </w:pPr>
          <w:r>
            <w:fldChar w:fldCharType="begin"/>
          </w:r>
          <w:r>
            <w:instrText xml:space="preserve"> DOCPROPERTY  OTID  \* MERGEFORMAT </w:instrText>
          </w:r>
          <w:r>
            <w:fldChar w:fldCharType="separate"/>
          </w:r>
          <w:r w:rsidR="00432BD6">
            <w:t>23.109.1887</w:t>
          </w:r>
          <w:r>
            <w:fldChar w:fldCharType="end"/>
          </w:r>
        </w:p>
      </w:tc>
    </w:tr>
    <w:tr w:rsidR="006018DF" w14:paraId="693FA0EB" w14:textId="77777777" w:rsidTr="009C1E9A">
      <w:trPr>
        <w:cantSplit/>
      </w:trPr>
      <w:tc>
        <w:tcPr>
          <w:tcW w:w="0" w:type="pct"/>
        </w:tcPr>
        <w:p w14:paraId="19B9C5E9" w14:textId="77777777" w:rsidR="00EC379B" w:rsidRDefault="00EC379B" w:rsidP="009C1E9A">
          <w:pPr>
            <w:pStyle w:val="Footer"/>
            <w:tabs>
              <w:tab w:val="clear" w:pos="4320"/>
              <w:tab w:val="clear" w:pos="8640"/>
              <w:tab w:val="left" w:pos="2865"/>
            </w:tabs>
          </w:pPr>
        </w:p>
      </w:tc>
      <w:tc>
        <w:tcPr>
          <w:tcW w:w="2395" w:type="pct"/>
        </w:tcPr>
        <w:p w14:paraId="06EA4D52"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5A4F5D0" w14:textId="77777777" w:rsidR="00EC379B" w:rsidRDefault="00EC379B" w:rsidP="006D504F">
          <w:pPr>
            <w:pStyle w:val="Footer"/>
            <w:rPr>
              <w:rStyle w:val="PageNumber"/>
            </w:rPr>
          </w:pPr>
        </w:p>
        <w:p w14:paraId="04772128" w14:textId="77777777" w:rsidR="00EC379B" w:rsidRDefault="00EC379B" w:rsidP="009C1E9A">
          <w:pPr>
            <w:pStyle w:val="Footer"/>
            <w:tabs>
              <w:tab w:val="clear" w:pos="8640"/>
              <w:tab w:val="right" w:pos="9360"/>
            </w:tabs>
            <w:jc w:val="right"/>
          </w:pPr>
        </w:p>
      </w:tc>
    </w:tr>
    <w:tr w:rsidR="006018DF" w14:paraId="0FC05086" w14:textId="77777777" w:rsidTr="009C1E9A">
      <w:trPr>
        <w:cantSplit/>
        <w:trHeight w:val="323"/>
      </w:trPr>
      <w:tc>
        <w:tcPr>
          <w:tcW w:w="0" w:type="pct"/>
          <w:gridSpan w:val="3"/>
        </w:tcPr>
        <w:p w14:paraId="490D49B6" w14:textId="77777777" w:rsidR="00EC379B" w:rsidRDefault="00CD761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DD1AC00" w14:textId="77777777" w:rsidR="00EC379B" w:rsidRDefault="00EC379B" w:rsidP="009C1E9A">
          <w:pPr>
            <w:pStyle w:val="Footer"/>
            <w:tabs>
              <w:tab w:val="clear" w:pos="8640"/>
              <w:tab w:val="right" w:pos="9360"/>
            </w:tabs>
            <w:jc w:val="center"/>
          </w:pPr>
        </w:p>
      </w:tc>
    </w:tr>
  </w:tbl>
  <w:p w14:paraId="5FDDD3F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C2B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93CC" w14:textId="77777777" w:rsidR="00000000" w:rsidRDefault="00CD761F">
      <w:r>
        <w:separator/>
      </w:r>
    </w:p>
  </w:footnote>
  <w:footnote w:type="continuationSeparator" w:id="0">
    <w:p w14:paraId="1860B7E6" w14:textId="77777777" w:rsidR="00000000" w:rsidRDefault="00CD7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5AD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795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A267"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6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38A"/>
    <w:rsid w:val="000249F2"/>
    <w:rsid w:val="00027E81"/>
    <w:rsid w:val="00030AD8"/>
    <w:rsid w:val="0003107A"/>
    <w:rsid w:val="00031C95"/>
    <w:rsid w:val="000330D4"/>
    <w:rsid w:val="0003572D"/>
    <w:rsid w:val="00035DB0"/>
    <w:rsid w:val="00037088"/>
    <w:rsid w:val="000400D5"/>
    <w:rsid w:val="00043B84"/>
    <w:rsid w:val="00044C60"/>
    <w:rsid w:val="0004512B"/>
    <w:rsid w:val="000463F0"/>
    <w:rsid w:val="00046BDA"/>
    <w:rsid w:val="0004762E"/>
    <w:rsid w:val="000532BD"/>
    <w:rsid w:val="00053E5E"/>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160"/>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641"/>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A7F66"/>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38"/>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2853"/>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0F4"/>
    <w:rsid w:val="003C36FD"/>
    <w:rsid w:val="003C664C"/>
    <w:rsid w:val="003D726D"/>
    <w:rsid w:val="003E0875"/>
    <w:rsid w:val="003E0BB8"/>
    <w:rsid w:val="003E6CB0"/>
    <w:rsid w:val="003F1F5E"/>
    <w:rsid w:val="003F261E"/>
    <w:rsid w:val="003F286A"/>
    <w:rsid w:val="003F77F8"/>
    <w:rsid w:val="00400ACD"/>
    <w:rsid w:val="00403B15"/>
    <w:rsid w:val="00403E8A"/>
    <w:rsid w:val="0040664D"/>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2BD6"/>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5729B"/>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18DF"/>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75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3795A"/>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346B"/>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1214"/>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045E"/>
    <w:rsid w:val="00823E4C"/>
    <w:rsid w:val="00827749"/>
    <w:rsid w:val="00827B7E"/>
    <w:rsid w:val="00830EEB"/>
    <w:rsid w:val="008313E7"/>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6FDB"/>
    <w:rsid w:val="00890B59"/>
    <w:rsid w:val="008930D7"/>
    <w:rsid w:val="008947A7"/>
    <w:rsid w:val="00897E80"/>
    <w:rsid w:val="008A04FA"/>
    <w:rsid w:val="008A3188"/>
    <w:rsid w:val="008A3FDF"/>
    <w:rsid w:val="008A6418"/>
    <w:rsid w:val="008B05D8"/>
    <w:rsid w:val="008B0B3D"/>
    <w:rsid w:val="008B2B1A"/>
    <w:rsid w:val="008B3428"/>
    <w:rsid w:val="008B4291"/>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1AE"/>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E7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D84"/>
    <w:rsid w:val="00A70E35"/>
    <w:rsid w:val="00A720DC"/>
    <w:rsid w:val="00A803CF"/>
    <w:rsid w:val="00A8133F"/>
    <w:rsid w:val="00A82CB4"/>
    <w:rsid w:val="00A837A8"/>
    <w:rsid w:val="00A83C36"/>
    <w:rsid w:val="00A919DB"/>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D761F"/>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25E3"/>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5E27"/>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2D4"/>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4E21"/>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2871E2-74F3-42E7-A1BA-26F657D3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00D38"/>
    <w:rPr>
      <w:sz w:val="16"/>
      <w:szCs w:val="16"/>
    </w:rPr>
  </w:style>
  <w:style w:type="paragraph" w:styleId="CommentText">
    <w:name w:val="annotation text"/>
    <w:basedOn w:val="Normal"/>
    <w:link w:val="CommentTextChar"/>
    <w:semiHidden/>
    <w:unhideWhenUsed/>
    <w:rsid w:val="00300D38"/>
    <w:rPr>
      <w:sz w:val="20"/>
      <w:szCs w:val="20"/>
    </w:rPr>
  </w:style>
  <w:style w:type="character" w:customStyle="1" w:styleId="CommentTextChar">
    <w:name w:val="Comment Text Char"/>
    <w:basedOn w:val="DefaultParagraphFont"/>
    <w:link w:val="CommentText"/>
    <w:semiHidden/>
    <w:rsid w:val="00300D38"/>
  </w:style>
  <w:style w:type="paragraph" w:styleId="CommentSubject">
    <w:name w:val="annotation subject"/>
    <w:basedOn w:val="CommentText"/>
    <w:next w:val="CommentText"/>
    <w:link w:val="CommentSubjectChar"/>
    <w:semiHidden/>
    <w:unhideWhenUsed/>
    <w:rsid w:val="00300D38"/>
    <w:rPr>
      <w:b/>
      <w:bCs/>
    </w:rPr>
  </w:style>
  <w:style w:type="character" w:customStyle="1" w:styleId="CommentSubjectChar">
    <w:name w:val="Comment Subject Char"/>
    <w:basedOn w:val="CommentTextChar"/>
    <w:link w:val="CommentSubject"/>
    <w:semiHidden/>
    <w:rsid w:val="00300D38"/>
    <w:rPr>
      <w:b/>
      <w:bCs/>
    </w:rPr>
  </w:style>
  <w:style w:type="character" w:styleId="Hyperlink">
    <w:name w:val="Hyperlink"/>
    <w:basedOn w:val="DefaultParagraphFont"/>
    <w:unhideWhenUsed/>
    <w:rsid w:val="003C30F4"/>
    <w:rPr>
      <w:color w:val="0000FF" w:themeColor="hyperlink"/>
      <w:u w:val="single"/>
    </w:rPr>
  </w:style>
  <w:style w:type="character" w:customStyle="1" w:styleId="UnresolvedMention1">
    <w:name w:val="Unresolved Mention1"/>
    <w:basedOn w:val="DefaultParagraphFont"/>
    <w:uiPriority w:val="99"/>
    <w:semiHidden/>
    <w:unhideWhenUsed/>
    <w:rsid w:val="003C30F4"/>
    <w:rPr>
      <w:color w:val="605E5C"/>
      <w:shd w:val="clear" w:color="auto" w:fill="E1DFDD"/>
    </w:rPr>
  </w:style>
  <w:style w:type="paragraph" w:styleId="Revision">
    <w:name w:val="Revision"/>
    <w:hidden/>
    <w:uiPriority w:val="99"/>
    <w:semiHidden/>
    <w:rsid w:val="005572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2316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BA - HB02008 (Committee Report (Unamended))</vt:lpstr>
    </vt:vector>
  </TitlesOfParts>
  <Company>State of Texas</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24503</dc:subject>
  <dc:creator>State of Texas</dc:creator>
  <dc:description>HB 2008 by Harless-(H)Criminal Jurisprudence</dc:description>
  <cp:lastModifiedBy>Matthew Lee</cp:lastModifiedBy>
  <cp:revision>2</cp:revision>
  <cp:lastPrinted>2003-11-26T17:21:00Z</cp:lastPrinted>
  <dcterms:created xsi:type="dcterms:W3CDTF">2023-04-25T18:24:00Z</dcterms:created>
  <dcterms:modified xsi:type="dcterms:W3CDTF">2023-04-25T18:24:00Z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23.109.1887</vt:lpwstr>
  </property>
</Properties>
</file>