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12EE7" w14:paraId="4DFBA473" w14:textId="77777777" w:rsidTr="00345119">
        <w:tc>
          <w:tcPr>
            <w:tcW w:w="9576" w:type="dxa"/>
            <w:noWrap/>
          </w:tcPr>
          <w:p w14:paraId="0D429285" w14:textId="77777777" w:rsidR="008423E4" w:rsidRPr="0022177D" w:rsidRDefault="00473DD9" w:rsidP="00AD373D">
            <w:pPr>
              <w:pStyle w:val="Heading1"/>
            </w:pPr>
            <w:r w:rsidRPr="00631897">
              <w:t>BILL ANALYSIS</w:t>
            </w:r>
          </w:p>
        </w:tc>
      </w:tr>
    </w:tbl>
    <w:p w14:paraId="49E0A917" w14:textId="77777777" w:rsidR="008423E4" w:rsidRPr="0022177D" w:rsidRDefault="008423E4" w:rsidP="00AD373D">
      <w:pPr>
        <w:jc w:val="center"/>
      </w:pPr>
    </w:p>
    <w:p w14:paraId="4AC3C4FA" w14:textId="77777777" w:rsidR="008423E4" w:rsidRPr="00B31F0E" w:rsidRDefault="008423E4" w:rsidP="00AD373D"/>
    <w:p w14:paraId="53687AB1" w14:textId="77777777" w:rsidR="008423E4" w:rsidRPr="00742794" w:rsidRDefault="008423E4" w:rsidP="00AD373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12EE7" w14:paraId="7957771B" w14:textId="77777777" w:rsidTr="00345119">
        <w:tc>
          <w:tcPr>
            <w:tcW w:w="9576" w:type="dxa"/>
          </w:tcPr>
          <w:p w14:paraId="6A37CA44" w14:textId="77777777" w:rsidR="008423E4" w:rsidRPr="00861995" w:rsidRDefault="00473DD9" w:rsidP="00AD373D">
            <w:pPr>
              <w:jc w:val="right"/>
            </w:pPr>
            <w:r>
              <w:t>C.S.H.B. 2023</w:t>
            </w:r>
          </w:p>
        </w:tc>
      </w:tr>
      <w:tr w:rsidR="00512EE7" w14:paraId="1618B7AC" w14:textId="77777777" w:rsidTr="00345119">
        <w:tc>
          <w:tcPr>
            <w:tcW w:w="9576" w:type="dxa"/>
          </w:tcPr>
          <w:p w14:paraId="2B812FEF" w14:textId="77777777" w:rsidR="008423E4" w:rsidRPr="00861995" w:rsidRDefault="00473DD9" w:rsidP="00AD373D">
            <w:pPr>
              <w:jc w:val="right"/>
            </w:pPr>
            <w:r>
              <w:t xml:space="preserve">By: </w:t>
            </w:r>
            <w:r w:rsidR="00E32C51">
              <w:t>Muñoz, Jr.</w:t>
            </w:r>
          </w:p>
        </w:tc>
      </w:tr>
      <w:tr w:rsidR="00512EE7" w14:paraId="511CE219" w14:textId="77777777" w:rsidTr="00345119">
        <w:tc>
          <w:tcPr>
            <w:tcW w:w="9576" w:type="dxa"/>
          </w:tcPr>
          <w:p w14:paraId="4D4AFEC6" w14:textId="77777777" w:rsidR="008423E4" w:rsidRPr="00861995" w:rsidRDefault="00473DD9" w:rsidP="00AD373D">
            <w:pPr>
              <w:jc w:val="right"/>
            </w:pPr>
            <w:r>
              <w:t>Land &amp; Resource Management</w:t>
            </w:r>
          </w:p>
        </w:tc>
      </w:tr>
      <w:tr w:rsidR="00512EE7" w14:paraId="06D33EF9" w14:textId="77777777" w:rsidTr="00345119">
        <w:tc>
          <w:tcPr>
            <w:tcW w:w="9576" w:type="dxa"/>
          </w:tcPr>
          <w:p w14:paraId="5C1AAFB3" w14:textId="77777777" w:rsidR="008423E4" w:rsidRDefault="00473DD9" w:rsidP="00AD373D">
            <w:pPr>
              <w:jc w:val="right"/>
            </w:pPr>
            <w:r>
              <w:t>Committee Report (Substituted)</w:t>
            </w:r>
          </w:p>
        </w:tc>
      </w:tr>
    </w:tbl>
    <w:p w14:paraId="71237ADF" w14:textId="77777777" w:rsidR="008423E4" w:rsidRDefault="008423E4" w:rsidP="00AD373D">
      <w:pPr>
        <w:tabs>
          <w:tab w:val="right" w:pos="9360"/>
        </w:tabs>
      </w:pPr>
    </w:p>
    <w:p w14:paraId="792DA17D" w14:textId="77777777" w:rsidR="008423E4" w:rsidRDefault="008423E4" w:rsidP="00AD373D"/>
    <w:p w14:paraId="66992893" w14:textId="77777777" w:rsidR="008423E4" w:rsidRDefault="008423E4" w:rsidP="00AD373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12EE7" w14:paraId="37A393BE" w14:textId="77777777" w:rsidTr="00AD373D">
        <w:tc>
          <w:tcPr>
            <w:tcW w:w="9360" w:type="dxa"/>
          </w:tcPr>
          <w:p w14:paraId="1CB68C76" w14:textId="77777777" w:rsidR="008423E4" w:rsidRPr="00A8133F" w:rsidRDefault="00473DD9" w:rsidP="00AD373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37446A" w14:textId="77777777" w:rsidR="008423E4" w:rsidRDefault="008423E4" w:rsidP="00AD373D"/>
          <w:p w14:paraId="3D485D2A" w14:textId="364CCB7E" w:rsidR="008423E4" w:rsidRDefault="00473DD9" w:rsidP="00AD373D">
            <w:pPr>
              <w:pStyle w:val="Header"/>
              <w:jc w:val="both"/>
            </w:pPr>
            <w:r>
              <w:t>I</w:t>
            </w:r>
            <w:r w:rsidRPr="00166A0C">
              <w:t xml:space="preserve">n cases </w:t>
            </w:r>
            <w:r>
              <w:t>in</w:t>
            </w:r>
            <w:r w:rsidRPr="00166A0C">
              <w:t xml:space="preserve"> which a court determines that a political subdivision acted unlawfully or without authority, the court typically does not award court costs and attorney</w:t>
            </w:r>
            <w:r>
              <w:t>'</w:t>
            </w:r>
            <w:r w:rsidRPr="00166A0C">
              <w:t xml:space="preserve">s fees to the prevailing party. </w:t>
            </w:r>
            <w:r>
              <w:t>T</w:t>
            </w:r>
            <w:r w:rsidRPr="00166A0C">
              <w:t xml:space="preserve">his </w:t>
            </w:r>
            <w:r>
              <w:t xml:space="preserve">can </w:t>
            </w:r>
            <w:r w:rsidRPr="00166A0C">
              <w:t xml:space="preserve">make it </w:t>
            </w:r>
            <w:r>
              <w:t>prohibitively</w:t>
            </w:r>
            <w:r w:rsidRPr="00166A0C">
              <w:t xml:space="preserve"> expensive for aggrieved parties to seek</w:t>
            </w:r>
            <w:r w:rsidRPr="00166A0C">
              <w:t xml:space="preserve"> judicial redress with regard to political subdivisions.</w:t>
            </w:r>
            <w:r>
              <w:t xml:space="preserve"> C.S.</w:t>
            </w:r>
            <w:r w:rsidRPr="00166A0C">
              <w:t>H</w:t>
            </w:r>
            <w:r>
              <w:t>.</w:t>
            </w:r>
            <w:r w:rsidRPr="00166A0C">
              <w:t>B</w:t>
            </w:r>
            <w:r>
              <w:t>.</w:t>
            </w:r>
            <w:r w:rsidRPr="00166A0C">
              <w:t xml:space="preserve"> 2023 seeks to address the issue of prevailing parties in cases against political subdivisions by requiring the award of court costs and attorney</w:t>
            </w:r>
            <w:r w:rsidR="00A34D88">
              <w:t>'</w:t>
            </w:r>
            <w:r w:rsidRPr="00166A0C">
              <w:t>s fees to the prevailing party in certain act</w:t>
            </w:r>
            <w:r w:rsidRPr="00166A0C">
              <w:t>ions challenging certain local laws</w:t>
            </w:r>
            <w:r>
              <w:t>, local regulatory actions,</w:t>
            </w:r>
            <w:r w:rsidRPr="00166A0C">
              <w:t xml:space="preserve"> or the failure of certain </w:t>
            </w:r>
            <w:r>
              <w:t>local officers</w:t>
            </w:r>
            <w:r w:rsidRPr="00166A0C">
              <w:t xml:space="preserve"> to perform certain actions.</w:t>
            </w:r>
            <w:r>
              <w:t xml:space="preserve"> </w:t>
            </w:r>
          </w:p>
          <w:p w14:paraId="1C2AF91D" w14:textId="77777777" w:rsidR="008423E4" w:rsidRPr="00E26B13" w:rsidRDefault="008423E4" w:rsidP="00AD373D">
            <w:pPr>
              <w:rPr>
                <w:b/>
              </w:rPr>
            </w:pPr>
          </w:p>
        </w:tc>
      </w:tr>
      <w:tr w:rsidR="00512EE7" w14:paraId="195FEF65" w14:textId="77777777" w:rsidTr="00AD373D">
        <w:tc>
          <w:tcPr>
            <w:tcW w:w="9360" w:type="dxa"/>
          </w:tcPr>
          <w:p w14:paraId="1967C16F" w14:textId="77777777" w:rsidR="0017725B" w:rsidRDefault="00473DD9" w:rsidP="00AD37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7477E5" w14:textId="77777777" w:rsidR="0017725B" w:rsidRDefault="0017725B" w:rsidP="00AD373D">
            <w:pPr>
              <w:rPr>
                <w:b/>
                <w:u w:val="single"/>
              </w:rPr>
            </w:pPr>
          </w:p>
          <w:p w14:paraId="40B929E9" w14:textId="1A89B57A" w:rsidR="00C22C01" w:rsidRPr="00C22C01" w:rsidRDefault="00473DD9" w:rsidP="00AD373D">
            <w:pPr>
              <w:jc w:val="both"/>
            </w:pPr>
            <w:r>
              <w:t>It is the committee's opinion that this bill does not expressly create a criminal offense, incre</w:t>
            </w:r>
            <w:r>
              <w:t>ase the punishment for an existing criminal offense or category of offenses, or change the eligibility of a person for community supervision, parole, or mandatory supervision.</w:t>
            </w:r>
          </w:p>
          <w:p w14:paraId="38AB2966" w14:textId="77777777" w:rsidR="0017725B" w:rsidRPr="0017725B" w:rsidRDefault="0017725B" w:rsidP="00AD373D">
            <w:pPr>
              <w:rPr>
                <w:b/>
                <w:u w:val="single"/>
              </w:rPr>
            </w:pPr>
          </w:p>
        </w:tc>
      </w:tr>
      <w:tr w:rsidR="00512EE7" w14:paraId="6915F99A" w14:textId="77777777" w:rsidTr="00AD373D">
        <w:tc>
          <w:tcPr>
            <w:tcW w:w="9360" w:type="dxa"/>
          </w:tcPr>
          <w:p w14:paraId="106FB828" w14:textId="77777777" w:rsidR="008423E4" w:rsidRPr="00A8133F" w:rsidRDefault="00473DD9" w:rsidP="00AD373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F88E6E" w14:textId="77777777" w:rsidR="008423E4" w:rsidRDefault="008423E4" w:rsidP="00AD373D"/>
          <w:p w14:paraId="670748A5" w14:textId="1D7AC78C" w:rsidR="00C22C01" w:rsidRDefault="00473DD9" w:rsidP="00AD37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6A94C9FE" w14:textId="77777777" w:rsidR="008423E4" w:rsidRPr="00E21FDC" w:rsidRDefault="008423E4" w:rsidP="00AD373D">
            <w:pPr>
              <w:rPr>
                <w:b/>
              </w:rPr>
            </w:pPr>
          </w:p>
        </w:tc>
      </w:tr>
      <w:tr w:rsidR="00512EE7" w14:paraId="3CE635C1" w14:textId="77777777" w:rsidTr="00AD373D">
        <w:tc>
          <w:tcPr>
            <w:tcW w:w="9360" w:type="dxa"/>
          </w:tcPr>
          <w:p w14:paraId="0B156B1B" w14:textId="77777777" w:rsidR="008423E4" w:rsidRPr="00A8133F" w:rsidRDefault="00473DD9" w:rsidP="00AD373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BA9C56" w14:textId="77777777" w:rsidR="008423E4" w:rsidRPr="00AD373D" w:rsidRDefault="008423E4" w:rsidP="00AD373D">
            <w:pPr>
              <w:rPr>
                <w:sz w:val="18"/>
                <w:szCs w:val="18"/>
              </w:rPr>
            </w:pPr>
          </w:p>
          <w:p w14:paraId="57D0E0EB" w14:textId="6A4E2EEA" w:rsidR="00210FCC" w:rsidRDefault="00473DD9" w:rsidP="00AD373D">
            <w:pPr>
              <w:pStyle w:val="Header"/>
              <w:jc w:val="both"/>
            </w:pPr>
            <w:r>
              <w:t xml:space="preserve">C.S.H.B. 2023 amends the Local Government Code to </w:t>
            </w:r>
            <w:r w:rsidR="00C22C01">
              <w:t xml:space="preserve">require </w:t>
            </w:r>
            <w:r>
              <w:t>a court to award the person prevailing in a</w:t>
            </w:r>
            <w:r w:rsidR="00C22C01">
              <w:t>n</w:t>
            </w:r>
            <w:r>
              <w:t xml:space="preserve"> action </w:t>
            </w:r>
            <w:r w:rsidR="00C22C01">
              <w:t xml:space="preserve">determined </w:t>
            </w:r>
            <w:r>
              <w:t>on any of the following bases court costs and reasonable attorney's fees, including expert witness fees, to be paid by the</w:t>
            </w:r>
            <w:r w:rsidR="00C22C01">
              <w:t xml:space="preserve"> applicable</w:t>
            </w:r>
            <w:r>
              <w:t xml:space="preserve"> political subdivision: </w:t>
            </w:r>
          </w:p>
          <w:p w14:paraId="4AB1A03A" w14:textId="1CA38D50" w:rsidR="00C22C01" w:rsidRDefault="00473DD9" w:rsidP="00AD37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determination </w:t>
            </w:r>
            <w:r w:rsidRPr="00C22C01">
              <w:t>that an order, ordinance, regulatory decision, denial of an application</w:t>
            </w:r>
            <w:r w:rsidRPr="00C22C01">
              <w:t xml:space="preserve">, refusal to issue a permit, or similar measure of a political subdivision is unenforceable because it is preempted by the Texas Constitution or a </w:t>
            </w:r>
            <w:r>
              <w:t xml:space="preserve">state </w:t>
            </w:r>
            <w:r w:rsidRPr="00C22C01">
              <w:t>statute</w:t>
            </w:r>
            <w:r>
              <w:t>;</w:t>
            </w:r>
          </w:p>
          <w:p w14:paraId="6CC08ADC" w14:textId="3F982433" w:rsidR="00C22C01" w:rsidRDefault="00473DD9" w:rsidP="00AD37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determination that</w:t>
            </w:r>
            <w:r w:rsidR="00210FCC">
              <w:t xml:space="preserve"> an officer of a political subdivision has failed to perform an act of the office required by the Texas Constitution or a state statut</w:t>
            </w:r>
            <w:r>
              <w:t>e;</w:t>
            </w:r>
          </w:p>
          <w:p w14:paraId="450C6B8E" w14:textId="72559F7B" w:rsidR="009C36CD" w:rsidRDefault="00473DD9" w:rsidP="00AD37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determination that </w:t>
            </w:r>
            <w:r w:rsidR="00210FCC">
              <w:t xml:space="preserve">a municipality has failed to comply with a requirement of </w:t>
            </w:r>
            <w:r>
              <w:t>state law governing municipal regulation of subdivisions and property development; or</w:t>
            </w:r>
          </w:p>
          <w:p w14:paraId="59D42BBE" w14:textId="79980E0C" w:rsidR="00C22C01" w:rsidRDefault="00473DD9" w:rsidP="00AD37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determination that a count</w:t>
            </w:r>
            <w:r>
              <w:t>y has failed to comply with a requirement of state law governing county regulation of subdivisions.</w:t>
            </w:r>
          </w:p>
          <w:p w14:paraId="595FD97F" w14:textId="2036BE69" w:rsidR="00533171" w:rsidRPr="009C36CD" w:rsidRDefault="00473DD9" w:rsidP="00AD373D">
            <w:pPr>
              <w:pStyle w:val="Header"/>
              <w:jc w:val="both"/>
            </w:pPr>
            <w:r>
              <w:t>The bill's provisions apply only to an action commenced on or after the bill's effective date.</w:t>
            </w:r>
          </w:p>
          <w:p w14:paraId="0886F809" w14:textId="77777777" w:rsidR="008423E4" w:rsidRPr="00835628" w:rsidRDefault="008423E4" w:rsidP="00AD373D">
            <w:pPr>
              <w:rPr>
                <w:b/>
              </w:rPr>
            </w:pPr>
          </w:p>
        </w:tc>
      </w:tr>
      <w:tr w:rsidR="00512EE7" w14:paraId="6CEA7189" w14:textId="77777777" w:rsidTr="00AD373D">
        <w:tc>
          <w:tcPr>
            <w:tcW w:w="9360" w:type="dxa"/>
          </w:tcPr>
          <w:p w14:paraId="66A907B3" w14:textId="77777777" w:rsidR="008423E4" w:rsidRPr="00A8133F" w:rsidRDefault="00473DD9" w:rsidP="00AD373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994F04" w14:textId="77777777" w:rsidR="008423E4" w:rsidRPr="00AD373D" w:rsidRDefault="008423E4" w:rsidP="00AD373D">
            <w:pPr>
              <w:rPr>
                <w:sz w:val="18"/>
                <w:szCs w:val="18"/>
              </w:rPr>
            </w:pPr>
          </w:p>
          <w:p w14:paraId="7D79495B" w14:textId="3003B707" w:rsidR="008423E4" w:rsidRPr="003624F2" w:rsidRDefault="00473DD9" w:rsidP="00AD37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1002078" w14:textId="77777777" w:rsidR="008423E4" w:rsidRPr="00233FDB" w:rsidRDefault="008423E4" w:rsidP="00AD373D">
            <w:pPr>
              <w:rPr>
                <w:b/>
              </w:rPr>
            </w:pPr>
          </w:p>
        </w:tc>
      </w:tr>
      <w:tr w:rsidR="00512EE7" w14:paraId="7582B40A" w14:textId="77777777" w:rsidTr="00AD373D">
        <w:tc>
          <w:tcPr>
            <w:tcW w:w="9360" w:type="dxa"/>
          </w:tcPr>
          <w:p w14:paraId="79127BB8" w14:textId="77777777" w:rsidR="00E32C51" w:rsidRDefault="00473DD9" w:rsidP="00AD373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</w:t>
            </w:r>
            <w:r>
              <w:rPr>
                <w:b/>
                <w:u w:val="single"/>
              </w:rPr>
              <w:t>INTRODUCED AND SUBSTITUTE</w:t>
            </w:r>
          </w:p>
          <w:p w14:paraId="5B7FE17B" w14:textId="77777777" w:rsidR="00C22C01" w:rsidRPr="00AD373D" w:rsidRDefault="00C22C01" w:rsidP="00AD373D">
            <w:pPr>
              <w:jc w:val="both"/>
              <w:rPr>
                <w:sz w:val="18"/>
                <w:szCs w:val="18"/>
              </w:rPr>
            </w:pPr>
          </w:p>
          <w:p w14:paraId="552131DC" w14:textId="5B8ABEBD" w:rsidR="00C22C01" w:rsidRPr="00C22C01" w:rsidRDefault="00473DD9" w:rsidP="00AD373D">
            <w:pPr>
              <w:jc w:val="both"/>
            </w:pPr>
            <w:r>
              <w:t>C.S.H.B. 2023 differs from the introduced in minor or nonsubstantive ways by conforming to certain bill drafting conventions.</w:t>
            </w:r>
          </w:p>
        </w:tc>
      </w:tr>
    </w:tbl>
    <w:p w14:paraId="3E28D3E5" w14:textId="77777777" w:rsidR="004108C3" w:rsidRPr="008423E4" w:rsidRDefault="004108C3" w:rsidP="00AD373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53A4" w14:textId="77777777" w:rsidR="00000000" w:rsidRDefault="00473DD9">
      <w:r>
        <w:separator/>
      </w:r>
    </w:p>
  </w:endnote>
  <w:endnote w:type="continuationSeparator" w:id="0">
    <w:p w14:paraId="324EE709" w14:textId="77777777" w:rsidR="00000000" w:rsidRDefault="0047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1C1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12EE7" w14:paraId="073D2A9E" w14:textId="77777777" w:rsidTr="009C1E9A">
      <w:trPr>
        <w:cantSplit/>
      </w:trPr>
      <w:tc>
        <w:tcPr>
          <w:tcW w:w="0" w:type="pct"/>
        </w:tcPr>
        <w:p w14:paraId="56C76C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8C45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4477E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B890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9B48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2EE7" w14:paraId="4540D760" w14:textId="77777777" w:rsidTr="009C1E9A">
      <w:trPr>
        <w:cantSplit/>
      </w:trPr>
      <w:tc>
        <w:tcPr>
          <w:tcW w:w="0" w:type="pct"/>
        </w:tcPr>
        <w:p w14:paraId="5098AD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4E0A4C" w14:textId="77777777" w:rsidR="00EC379B" w:rsidRPr="009C1E9A" w:rsidRDefault="00473D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25468-D</w:t>
          </w:r>
        </w:p>
      </w:tc>
      <w:tc>
        <w:tcPr>
          <w:tcW w:w="2453" w:type="pct"/>
        </w:tcPr>
        <w:p w14:paraId="28EDC8E6" w14:textId="7D1AD95D" w:rsidR="00EC379B" w:rsidRDefault="00473D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D373D">
            <w:t>23.114.1150</w:t>
          </w:r>
          <w:r>
            <w:fldChar w:fldCharType="end"/>
          </w:r>
        </w:p>
      </w:tc>
    </w:tr>
    <w:tr w:rsidR="00512EE7" w14:paraId="73F45BFB" w14:textId="77777777" w:rsidTr="009C1E9A">
      <w:trPr>
        <w:cantSplit/>
      </w:trPr>
      <w:tc>
        <w:tcPr>
          <w:tcW w:w="0" w:type="pct"/>
        </w:tcPr>
        <w:p w14:paraId="6393641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7323D1" w14:textId="77777777" w:rsidR="00EC379B" w:rsidRPr="009C1E9A" w:rsidRDefault="00473DD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17637</w:t>
          </w:r>
        </w:p>
      </w:tc>
      <w:tc>
        <w:tcPr>
          <w:tcW w:w="2453" w:type="pct"/>
        </w:tcPr>
        <w:p w14:paraId="6431C68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999B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2EE7" w14:paraId="08B52C9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079ACFD" w14:textId="77777777" w:rsidR="00EC379B" w:rsidRDefault="00473D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6EE22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7CE8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BD8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C0DA" w14:textId="77777777" w:rsidR="00000000" w:rsidRDefault="00473DD9">
      <w:r>
        <w:separator/>
      </w:r>
    </w:p>
  </w:footnote>
  <w:footnote w:type="continuationSeparator" w:id="0">
    <w:p w14:paraId="32BD4D60" w14:textId="77777777" w:rsidR="00000000" w:rsidRDefault="0047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AC8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6F9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788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2F07"/>
    <w:multiLevelType w:val="hybridMultilevel"/>
    <w:tmpl w:val="D5EE92AE"/>
    <w:lvl w:ilvl="0" w:tplc="4B4AB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A9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6E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28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00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6D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66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EB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2E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83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5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A0C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FCC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DD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EE7"/>
    <w:rsid w:val="0051324D"/>
    <w:rsid w:val="00515466"/>
    <w:rsid w:val="005154F7"/>
    <w:rsid w:val="005159DE"/>
    <w:rsid w:val="005269CE"/>
    <w:rsid w:val="005304B2"/>
    <w:rsid w:val="00533171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481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4ED5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7D2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024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4D88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73D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839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C01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E8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4DB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569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C51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490B04-1FBD-4612-9B05-34ECE10A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22C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2C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2C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2C01"/>
    <w:rPr>
      <w:b/>
      <w:bCs/>
    </w:rPr>
  </w:style>
  <w:style w:type="paragraph" w:styleId="Revision">
    <w:name w:val="Revision"/>
    <w:hidden/>
    <w:uiPriority w:val="99"/>
    <w:semiHidden/>
    <w:rsid w:val="00166A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2159</Characters>
  <Application>Microsoft Office Word</Application>
  <DocSecurity>4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HB02023 (Committee Report (Substituted))</vt:lpstr>
    </vt:vector>
  </TitlesOfParts>
  <Company>State of Texas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25468</dc:subject>
  <dc:creator>State of Texas</dc:creator>
  <dc:description>HB 2023 by Muñoz, Jr.-(H)Land &amp; Resource Management (Substitute Document Number: 88R 17637)</dc:description>
  <cp:lastModifiedBy>Stacey Nicchio</cp:lastModifiedBy>
  <cp:revision>2</cp:revision>
  <cp:lastPrinted>2003-11-26T17:21:00Z</cp:lastPrinted>
  <dcterms:created xsi:type="dcterms:W3CDTF">2023-04-25T23:10:00Z</dcterms:created>
  <dcterms:modified xsi:type="dcterms:W3CDTF">2023-04-25T23:10:00Z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23.114.1150</vt:lpwstr>
  </property>
</Properties>
</file>