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3615" w14:paraId="1F4B2253" w14:textId="77777777" w:rsidTr="00345119">
        <w:tc>
          <w:tcPr>
            <w:tcW w:w="9576" w:type="dxa"/>
            <w:noWrap/>
          </w:tcPr>
          <w:p w14:paraId="53F2A906" w14:textId="77777777" w:rsidR="008423E4" w:rsidRPr="0022177D" w:rsidRDefault="00347101" w:rsidP="00335FC3">
            <w:pPr>
              <w:pStyle w:val="Heading1"/>
            </w:pPr>
            <w:r w:rsidRPr="00631897">
              <w:t>BILL ANALYSIS</w:t>
            </w:r>
          </w:p>
        </w:tc>
      </w:tr>
    </w:tbl>
    <w:p w14:paraId="20708725" w14:textId="77777777" w:rsidR="008423E4" w:rsidRPr="0022177D" w:rsidRDefault="008423E4" w:rsidP="00335FC3">
      <w:pPr>
        <w:jc w:val="center"/>
      </w:pPr>
    </w:p>
    <w:p w14:paraId="17FD6ABD" w14:textId="77777777" w:rsidR="008423E4" w:rsidRPr="00B31F0E" w:rsidRDefault="008423E4" w:rsidP="00335FC3"/>
    <w:p w14:paraId="6FF49565" w14:textId="77777777" w:rsidR="008423E4" w:rsidRPr="00742794" w:rsidRDefault="008423E4" w:rsidP="00335FC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3615" w14:paraId="45217E14" w14:textId="77777777" w:rsidTr="00345119">
        <w:tc>
          <w:tcPr>
            <w:tcW w:w="9576" w:type="dxa"/>
          </w:tcPr>
          <w:p w14:paraId="15144180" w14:textId="61C40EFB" w:rsidR="008423E4" w:rsidRPr="00861995" w:rsidRDefault="00347101" w:rsidP="00335FC3">
            <w:pPr>
              <w:jc w:val="right"/>
            </w:pPr>
            <w:r>
              <w:t>C.S.H.B. 2024</w:t>
            </w:r>
          </w:p>
        </w:tc>
      </w:tr>
      <w:tr w:rsidR="00BA3615" w14:paraId="4B18DA79" w14:textId="77777777" w:rsidTr="00345119">
        <w:tc>
          <w:tcPr>
            <w:tcW w:w="9576" w:type="dxa"/>
          </w:tcPr>
          <w:p w14:paraId="30EE900C" w14:textId="5D1488B9" w:rsidR="008423E4" w:rsidRPr="00861995" w:rsidRDefault="00347101" w:rsidP="00335FC3">
            <w:pPr>
              <w:jc w:val="right"/>
            </w:pPr>
            <w:r>
              <w:t xml:space="preserve">By: </w:t>
            </w:r>
            <w:r w:rsidR="007D6362">
              <w:t>Leach</w:t>
            </w:r>
          </w:p>
        </w:tc>
      </w:tr>
      <w:tr w:rsidR="00BA3615" w14:paraId="07797660" w14:textId="77777777" w:rsidTr="00345119">
        <w:tc>
          <w:tcPr>
            <w:tcW w:w="9576" w:type="dxa"/>
          </w:tcPr>
          <w:p w14:paraId="1382440E" w14:textId="1DA9028D" w:rsidR="008423E4" w:rsidRPr="00861995" w:rsidRDefault="00347101" w:rsidP="00335FC3">
            <w:pPr>
              <w:jc w:val="right"/>
            </w:pPr>
            <w:r>
              <w:t>Judiciary &amp; Civil Jurisprudence</w:t>
            </w:r>
          </w:p>
        </w:tc>
      </w:tr>
      <w:tr w:rsidR="00BA3615" w14:paraId="0E2C8CCF" w14:textId="77777777" w:rsidTr="00345119">
        <w:tc>
          <w:tcPr>
            <w:tcW w:w="9576" w:type="dxa"/>
          </w:tcPr>
          <w:p w14:paraId="59BEF792" w14:textId="19388D21" w:rsidR="008423E4" w:rsidRDefault="00347101" w:rsidP="00335FC3">
            <w:pPr>
              <w:jc w:val="right"/>
            </w:pPr>
            <w:r>
              <w:t>Committee Report (Substituted)</w:t>
            </w:r>
          </w:p>
        </w:tc>
      </w:tr>
    </w:tbl>
    <w:p w14:paraId="5E22A2D6" w14:textId="77777777" w:rsidR="008423E4" w:rsidRDefault="008423E4" w:rsidP="00335FC3">
      <w:pPr>
        <w:tabs>
          <w:tab w:val="right" w:pos="9360"/>
        </w:tabs>
      </w:pPr>
    </w:p>
    <w:p w14:paraId="71CDCA13" w14:textId="77777777" w:rsidR="008423E4" w:rsidRDefault="008423E4" w:rsidP="00335FC3"/>
    <w:p w14:paraId="7ECE2F0A" w14:textId="77777777" w:rsidR="008423E4" w:rsidRDefault="008423E4" w:rsidP="00335FC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3615" w14:paraId="454E2BBF" w14:textId="77777777" w:rsidTr="00335FC3">
        <w:tc>
          <w:tcPr>
            <w:tcW w:w="9360" w:type="dxa"/>
          </w:tcPr>
          <w:p w14:paraId="46EF8174" w14:textId="77777777" w:rsidR="008423E4" w:rsidRPr="00A8133F" w:rsidRDefault="00347101" w:rsidP="00335FC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460B7D" w14:textId="77777777" w:rsidR="008423E4" w:rsidRDefault="008423E4" w:rsidP="00335FC3"/>
          <w:p w14:paraId="099DD3E3" w14:textId="78B1A75C" w:rsidR="0002371D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With regards to residential construction, current law provides </w:t>
            </w:r>
            <w:r w:rsidR="0081636E">
              <w:t xml:space="preserve">certain </w:t>
            </w:r>
            <w:r>
              <w:t>remedies for those</w:t>
            </w:r>
            <w:r>
              <w:t xml:space="preserve"> seeking relief from a defective or unsafe condition of real property and its improvements. </w:t>
            </w:r>
            <w:r w:rsidR="0081636E">
              <w:t>For instance, a</w:t>
            </w:r>
            <w:r>
              <w:t xml:space="preserve"> person may bring a suit for damages against</w:t>
            </w:r>
            <w:r w:rsidR="0081636E">
              <w:t xml:space="preserve"> a person who constructs or repairs an improvement to</w:t>
            </w:r>
            <w:r>
              <w:t xml:space="preserve"> real property not later than 10 years after </w:t>
            </w:r>
            <w:r w:rsidR="00712937">
              <w:t xml:space="preserve">substantial </w:t>
            </w:r>
            <w:r>
              <w:t>completion.</w:t>
            </w:r>
            <w:r w:rsidR="00712937">
              <w:t xml:space="preserve"> </w:t>
            </w:r>
            <w:r>
              <w:t>C.S.H.B.</w:t>
            </w:r>
            <w:r w:rsidR="00831C2F">
              <w:t> </w:t>
            </w:r>
            <w:r>
              <w:t xml:space="preserve">2024 establishes new limitations periods for bringing suit for damages arising out of the design, </w:t>
            </w:r>
            <w:r w:rsidR="00712937">
              <w:t>construction, or repair</w:t>
            </w:r>
            <w:r>
              <w:t xml:space="preserve"> of </w:t>
            </w:r>
            <w:r w:rsidR="00A64C4B">
              <w:t xml:space="preserve">certain </w:t>
            </w:r>
            <w:r>
              <w:t>residential construction</w:t>
            </w:r>
            <w:r w:rsidR="00712937">
              <w:t xml:space="preserve"> to </w:t>
            </w:r>
            <w:r>
              <w:t>require a person to bring suit for damages for certain claims not lat</w:t>
            </w:r>
            <w:r>
              <w:t xml:space="preserve">er than </w:t>
            </w:r>
            <w:r w:rsidR="00DC230A">
              <w:t>10</w:t>
            </w:r>
            <w:r>
              <w:t xml:space="preserve"> years after completion. However, if the </w:t>
            </w:r>
            <w:r w:rsidRPr="00E03C5F">
              <w:t xml:space="preserve">contractor being sued </w:t>
            </w:r>
            <w:r w:rsidR="00DC230A">
              <w:t xml:space="preserve">has </w:t>
            </w:r>
            <w:r w:rsidRPr="00E03C5F">
              <w:t xml:space="preserve">provided </w:t>
            </w:r>
            <w:r>
              <w:t xml:space="preserve">a written warranty </w:t>
            </w:r>
            <w:r w:rsidR="00064B9B">
              <w:t xml:space="preserve">for </w:t>
            </w:r>
            <w:r>
              <w:t xml:space="preserve">a minimum of </w:t>
            </w:r>
            <w:r w:rsidR="00064B9B">
              <w:t>one</w:t>
            </w:r>
            <w:r>
              <w:t xml:space="preserve"> year for workmanship and materials, </w:t>
            </w:r>
            <w:r w:rsidR="00064B9B">
              <w:t>two</w:t>
            </w:r>
            <w:r>
              <w:t xml:space="preserve"> years for plumbing, electrical, heating and air-conditioning systems</w:t>
            </w:r>
            <w:r w:rsidR="00064B9B">
              <w:t>,</w:t>
            </w:r>
            <w:r>
              <w:t xml:space="preserve"> and </w:t>
            </w:r>
            <w:r w:rsidR="00064B9B">
              <w:t>six</w:t>
            </w:r>
            <w:r>
              <w:t xml:space="preserve"> years for ma</w:t>
            </w:r>
            <w:r>
              <w:t>jor structural components,</w:t>
            </w:r>
            <w:r w:rsidR="00064B9B">
              <w:t xml:space="preserve"> </w:t>
            </w:r>
            <w:r>
              <w:t>then a suit must be brought no</w:t>
            </w:r>
            <w:r w:rsidR="00064B9B">
              <w:t>t</w:t>
            </w:r>
            <w:r>
              <w:t xml:space="preserve"> later than </w:t>
            </w:r>
            <w:r w:rsidR="00064B9B">
              <w:t xml:space="preserve">six </w:t>
            </w:r>
            <w:r>
              <w:t>years after completion of the project.</w:t>
            </w:r>
          </w:p>
          <w:p w14:paraId="631204C7" w14:textId="1A8F618B" w:rsidR="00F60AC1" w:rsidRPr="00E26B13" w:rsidRDefault="00F60AC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A3615" w14:paraId="354F2EFB" w14:textId="77777777" w:rsidTr="00335FC3">
        <w:tc>
          <w:tcPr>
            <w:tcW w:w="9360" w:type="dxa"/>
          </w:tcPr>
          <w:p w14:paraId="62F115FA" w14:textId="77777777" w:rsidR="0017725B" w:rsidRDefault="00347101" w:rsidP="00335F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E4FE9F" w14:textId="77777777" w:rsidR="0017725B" w:rsidRDefault="0017725B" w:rsidP="00335FC3">
            <w:pPr>
              <w:rPr>
                <w:b/>
                <w:u w:val="single"/>
              </w:rPr>
            </w:pPr>
          </w:p>
          <w:p w14:paraId="7DAAFBF9" w14:textId="239169C8" w:rsidR="00014BDA" w:rsidRPr="00014BDA" w:rsidRDefault="00347101" w:rsidP="00335FC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CAC9EA6" w14:textId="77777777" w:rsidR="0017725B" w:rsidRPr="0017725B" w:rsidRDefault="0017725B" w:rsidP="00335FC3">
            <w:pPr>
              <w:rPr>
                <w:b/>
                <w:u w:val="single"/>
              </w:rPr>
            </w:pPr>
          </w:p>
        </w:tc>
      </w:tr>
      <w:tr w:rsidR="00BA3615" w14:paraId="17167A1B" w14:textId="77777777" w:rsidTr="00335FC3">
        <w:tc>
          <w:tcPr>
            <w:tcW w:w="9360" w:type="dxa"/>
          </w:tcPr>
          <w:p w14:paraId="39CA2395" w14:textId="77777777" w:rsidR="008423E4" w:rsidRPr="00A8133F" w:rsidRDefault="00347101" w:rsidP="00335FC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C3E126" w14:textId="77777777" w:rsidR="008423E4" w:rsidRDefault="008423E4" w:rsidP="00335FC3"/>
          <w:p w14:paraId="67340DF9" w14:textId="5308EE76" w:rsidR="00014BDA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EAF532C" w14:textId="77777777" w:rsidR="008423E4" w:rsidRPr="00E21FDC" w:rsidRDefault="008423E4" w:rsidP="00335FC3">
            <w:pPr>
              <w:rPr>
                <w:b/>
              </w:rPr>
            </w:pPr>
          </w:p>
        </w:tc>
      </w:tr>
      <w:tr w:rsidR="00BA3615" w14:paraId="54253CB5" w14:textId="77777777" w:rsidTr="00335FC3">
        <w:tc>
          <w:tcPr>
            <w:tcW w:w="9360" w:type="dxa"/>
          </w:tcPr>
          <w:p w14:paraId="54571D59" w14:textId="77777777" w:rsidR="008423E4" w:rsidRPr="00A8133F" w:rsidRDefault="00347101" w:rsidP="00335FC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0DBA5F" w14:textId="77777777" w:rsidR="008423E4" w:rsidRDefault="008423E4" w:rsidP="00335FC3"/>
          <w:p w14:paraId="52FF9018" w14:textId="65EC66CF" w:rsidR="00D33A20" w:rsidRDefault="00347101" w:rsidP="00335FC3">
            <w:pPr>
              <w:pStyle w:val="Header"/>
              <w:jc w:val="both"/>
            </w:pPr>
            <w:r>
              <w:t>C.S.</w:t>
            </w:r>
            <w:r w:rsidR="00896DBA">
              <w:t>H.B. 2024 amends the Civil Practice and Remedies Code to</w:t>
            </w:r>
            <w:r w:rsidR="007E5A4C">
              <w:t xml:space="preserve"> set the statute of limitations period at 10 years </w:t>
            </w:r>
            <w:r w:rsidR="00DC230A" w:rsidRPr="00BA78DC">
              <w:t xml:space="preserve">after the substantial completion of </w:t>
            </w:r>
            <w:r w:rsidR="00DC230A">
              <w:t>an</w:t>
            </w:r>
            <w:r w:rsidR="00DC230A" w:rsidRPr="00BA78DC">
              <w:t xml:space="preserve"> </w:t>
            </w:r>
            <w:r w:rsidR="00DC230A">
              <w:t xml:space="preserve">applicable </w:t>
            </w:r>
            <w:r w:rsidR="00DC230A" w:rsidRPr="00BA78DC">
              <w:t>improvement</w:t>
            </w:r>
            <w:r w:rsidR="00DC230A">
              <w:t xml:space="preserve"> </w:t>
            </w:r>
            <w:r w:rsidR="007E5A4C">
              <w:t>for</w:t>
            </w:r>
            <w:r w:rsidR="00E2769F">
              <w:t xml:space="preserve"> a claimant</w:t>
            </w:r>
            <w:r w:rsidR="007E5A4C">
              <w:t xml:space="preserve"> </w:t>
            </w:r>
            <w:r w:rsidR="007E5A4C" w:rsidRPr="007E5A4C">
              <w:t>to bring suit for damages</w:t>
            </w:r>
            <w:r w:rsidR="007E5A4C">
              <w:t xml:space="preserve">, </w:t>
            </w:r>
            <w:r w:rsidR="00A22A7D" w:rsidRPr="00A22A7D">
              <w:t>with respect to any claim arising out of the design,</w:t>
            </w:r>
            <w:r w:rsidR="00A22A7D">
              <w:t xml:space="preserve"> </w:t>
            </w:r>
            <w:r w:rsidR="00A22A7D" w:rsidRPr="00A22A7D">
              <w:t>construction, or repair of a new residence</w:t>
            </w:r>
            <w:r w:rsidR="00BA78DC">
              <w:t>,</w:t>
            </w:r>
            <w:r w:rsidR="00753E94">
              <w:t xml:space="preserve"> </w:t>
            </w:r>
            <w:r w:rsidR="00A22A7D" w:rsidRPr="00A22A7D">
              <w:t>of an alteration of or repair or addition to an existing residence</w:t>
            </w:r>
            <w:r w:rsidR="00F434CB">
              <w:t>,</w:t>
            </w:r>
            <w:r w:rsidR="00A22A7D" w:rsidRPr="00A22A7D">
              <w:t xml:space="preserve"> or</w:t>
            </w:r>
            <w:r w:rsidR="00753E94">
              <w:t xml:space="preserve"> </w:t>
            </w:r>
            <w:r w:rsidR="00A22A7D" w:rsidRPr="00A22A7D">
              <w:t>of an appurtenance to a residence</w:t>
            </w:r>
            <w:r w:rsidR="00E44798">
              <w:t xml:space="preserve">, </w:t>
            </w:r>
            <w:r w:rsidR="00014BDA">
              <w:t xml:space="preserve">against </w:t>
            </w:r>
            <w:r w:rsidR="00E44798" w:rsidRPr="00E44798">
              <w:t xml:space="preserve">a person who constructs or repairs </w:t>
            </w:r>
            <w:r w:rsidR="004178C5">
              <w:t>an</w:t>
            </w:r>
            <w:r w:rsidR="00476EE7" w:rsidRPr="00E44798">
              <w:t xml:space="preserve"> </w:t>
            </w:r>
            <w:r w:rsidR="00E44798" w:rsidRPr="00E44798">
              <w:t>improvement</w:t>
            </w:r>
            <w:r w:rsidR="004178C5">
              <w:t xml:space="preserve"> to real property</w:t>
            </w:r>
            <w:r w:rsidR="00FC4146">
              <w:t>,</w:t>
            </w:r>
            <w:r w:rsidR="00BA78DC" w:rsidRPr="00BA78DC">
              <w:t xml:space="preserve"> </w:t>
            </w:r>
            <w:r w:rsidR="00FC4146">
              <w:t>if the</w:t>
            </w:r>
            <w:r w:rsidR="00BA78DC" w:rsidRPr="00BA78DC">
              <w:t xml:space="preserve"> action</w:t>
            </w:r>
            <w:r w:rsidR="00FC4146">
              <w:t xml:space="preserve"> arises </w:t>
            </w:r>
            <w:r w:rsidR="00BA78DC" w:rsidRPr="00BA78DC">
              <w:t>out of a defective or unsafe condition of the real property or a deficiency in the construction or repair of the improvement.</w:t>
            </w:r>
            <w:r w:rsidR="00BD4FFB">
              <w:t xml:space="preserve"> </w:t>
            </w:r>
            <w:r w:rsidR="00ED682E">
              <w:t xml:space="preserve">If the contractor being sued </w:t>
            </w:r>
            <w:r w:rsidR="00476EE7" w:rsidRPr="00476EE7">
              <w:t>provided a</w:t>
            </w:r>
            <w:r w:rsidR="00C072DB" w:rsidRPr="00C072DB">
              <w:t xml:space="preserve"> written warranty</w:t>
            </w:r>
            <w:r>
              <w:t xml:space="preserve"> for the residence that </w:t>
            </w:r>
            <w:r w:rsidR="00C072DB">
              <w:t>provide</w:t>
            </w:r>
            <w:r>
              <w:t>s</w:t>
            </w:r>
            <w:r w:rsidR="00C072DB">
              <w:t xml:space="preserve"> a minimum period of one year for workmanship and materials, two years for plumbing, electrical, heating, and air-conditioning delivery systems</w:t>
            </w:r>
            <w:r w:rsidR="0031203D">
              <w:t xml:space="preserve">, and </w:t>
            </w:r>
            <w:r w:rsidR="007E5A4C">
              <w:t xml:space="preserve">six </w:t>
            </w:r>
            <w:r w:rsidR="0031203D">
              <w:t>years for major structural components</w:t>
            </w:r>
            <w:r w:rsidR="00ED682E">
              <w:t xml:space="preserve">, then </w:t>
            </w:r>
            <w:r w:rsidR="00091F3A">
              <w:t xml:space="preserve">the period </w:t>
            </w:r>
            <w:r w:rsidR="00DC230A">
              <w:t>for bringing suit is six years</w:t>
            </w:r>
            <w:r w:rsidR="00B9018C">
              <w:t xml:space="preserve"> instead</w:t>
            </w:r>
            <w:r w:rsidR="00C072DB">
              <w:t>.</w:t>
            </w:r>
            <w:r>
              <w:t xml:space="preserve"> </w:t>
            </w:r>
            <w:r w:rsidR="00D041DD">
              <w:t xml:space="preserve">If a claimant </w:t>
            </w:r>
            <w:r w:rsidRPr="00D33A20">
              <w:t>presents</w:t>
            </w:r>
            <w:r>
              <w:t xml:space="preserve"> </w:t>
            </w:r>
            <w:r w:rsidRPr="00D33A20">
              <w:t xml:space="preserve">a written claim </w:t>
            </w:r>
            <w:r w:rsidR="00B9018C">
              <w:t xml:space="preserve">under these provisions </w:t>
            </w:r>
            <w:r w:rsidRPr="00D33A20">
              <w:t>to the appropriate person within the ap</w:t>
            </w:r>
            <w:r w:rsidRPr="00D33A20">
              <w:t>plicable limitations period</w:t>
            </w:r>
            <w:r w:rsidR="00D041DD">
              <w:t xml:space="preserve">, then the period is extended for </w:t>
            </w:r>
            <w:r w:rsidRPr="00D33A20">
              <w:t>one year from the date the claim is presented</w:t>
            </w:r>
            <w:r>
              <w:t>.</w:t>
            </w:r>
          </w:p>
          <w:p w14:paraId="4F1E9329" w14:textId="1D817E39" w:rsidR="00303249" w:rsidRDefault="00347101" w:rsidP="00335FC3">
            <w:pPr>
              <w:pStyle w:val="Header"/>
              <w:jc w:val="both"/>
            </w:pPr>
            <w:r>
              <w:t xml:space="preserve"> </w:t>
            </w:r>
          </w:p>
          <w:p w14:paraId="345A93C7" w14:textId="5D72353E" w:rsidR="00FE4B0E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F4791">
              <w:t>H.B. 2024</w:t>
            </w:r>
            <w:r w:rsidR="005E3C36">
              <w:t xml:space="preserve"> defines "residence" as </w:t>
            </w:r>
            <w:r w:rsidR="005E3C36" w:rsidRPr="005E3C36">
              <w:t>the real property and improvements for a detached one-family or two-family dwelling or a townhouse not more than three stories above grade plane in height with a separate means of egress or an accessory structure not more than three stories above grade plane in height.</w:t>
            </w:r>
          </w:p>
          <w:p w14:paraId="377E34FE" w14:textId="4B5AC425" w:rsidR="00BA4CB5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2024 </w:t>
            </w:r>
            <w:r w:rsidR="006A5A41">
              <w:t>defines</w:t>
            </w:r>
            <w:r>
              <w:t xml:space="preserve"> "contractor" </w:t>
            </w:r>
            <w:r w:rsidR="00BE735D">
              <w:t xml:space="preserve">by reference </w:t>
            </w:r>
            <w:r>
              <w:t>for purposes of the bill's provisions</w:t>
            </w:r>
            <w:r w:rsidR="006A5A41">
              <w:t xml:space="preserve"> as follows</w:t>
            </w:r>
            <w:r>
              <w:t>:</w:t>
            </w:r>
          </w:p>
          <w:p w14:paraId="5F7E84AB" w14:textId="00DCD398" w:rsidR="00BA4CB5" w:rsidRDefault="00347101" w:rsidP="00335FC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term means the following:</w:t>
            </w:r>
          </w:p>
          <w:p w14:paraId="6F586F30" w14:textId="0E85C5AF" w:rsidR="00BA4CB5" w:rsidRDefault="00347101" w:rsidP="00335FC3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a builder contracting with an owner for the construction or repair of a new residence, for the repair or alteration of or an addition to an existing residence, or for the construction, sale, alteration, addition, </w:t>
            </w:r>
            <w:r>
              <w:t>or repair of an appurtenance to a new or existing residence;</w:t>
            </w:r>
          </w:p>
          <w:p w14:paraId="73830E9B" w14:textId="395364AE" w:rsidR="00BA4CB5" w:rsidRDefault="00347101" w:rsidP="00335FC3">
            <w:pPr>
              <w:pStyle w:val="Header"/>
              <w:numPr>
                <w:ilvl w:val="1"/>
                <w:numId w:val="3"/>
              </w:numPr>
              <w:jc w:val="both"/>
            </w:pPr>
            <w:r>
              <w:t>any person contracting with a purchaser for the sale of a new residence constructed by or on behalf of that person; or</w:t>
            </w:r>
          </w:p>
          <w:p w14:paraId="32AE31E1" w14:textId="1A17F847" w:rsidR="00BA4CB5" w:rsidRDefault="00347101" w:rsidP="00335FC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contracting with an owner or the developer of a condominium for the</w:t>
            </w:r>
            <w:r>
              <w:t xml:space="preserve"> construction of a new residence, for an alteration of or an addition to an existing residence, for repair of a new or existing residence, or for the construction, sale, alteration, addition, or repair of an appurtenance to a new or existing residence; and</w:t>
            </w:r>
          </w:p>
          <w:p w14:paraId="249C88BF" w14:textId="73626B90" w:rsidR="00BA4CB5" w:rsidRDefault="00347101" w:rsidP="00335FC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term includes the following:</w:t>
            </w:r>
          </w:p>
          <w:p w14:paraId="1F00A81E" w14:textId="77777777" w:rsidR="00BA4CB5" w:rsidRDefault="00347101" w:rsidP="00335FC3">
            <w:pPr>
              <w:pStyle w:val="Header"/>
              <w:numPr>
                <w:ilvl w:val="1"/>
                <w:numId w:val="3"/>
              </w:numPr>
              <w:jc w:val="both"/>
            </w:pPr>
            <w:r>
              <w:t>an owner, officer, director, shareholder, partner, or employee of the contractor; and</w:t>
            </w:r>
          </w:p>
          <w:p w14:paraId="21C566EE" w14:textId="308B9DD6" w:rsidR="00BA4CB5" w:rsidRDefault="00347101" w:rsidP="00335FC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 a risk retention group that insures all or any part of a contractor's liability for the cost to repair a residential construction defec</w:t>
            </w:r>
            <w:r>
              <w:t>t.</w:t>
            </w:r>
          </w:p>
          <w:p w14:paraId="52D32C40" w14:textId="77777777" w:rsidR="00FE4B0E" w:rsidRDefault="00FE4B0E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D8B425" w14:textId="2FEA48B2" w:rsidR="00303249" w:rsidRPr="009C36CD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2024 applies</w:t>
            </w:r>
            <w:r w:rsidR="00032B72" w:rsidRPr="00032B72">
              <w:t xml:space="preserve"> </w:t>
            </w:r>
            <w:r w:rsidR="0002385F" w:rsidRPr="0002385F">
              <w:t>to a cause of action arising out of the design, construction, or repair of an improvement to real property that commences on or after th</w:t>
            </w:r>
            <w:r w:rsidR="001F2189">
              <w:t xml:space="preserve">e </w:t>
            </w:r>
            <w:r w:rsidR="00DB08D8">
              <w:t xml:space="preserve">bill's </w:t>
            </w:r>
            <w:r w:rsidR="0002385F" w:rsidRPr="0002385F">
              <w:t>effective date</w:t>
            </w:r>
            <w:r>
              <w:t xml:space="preserve"> and expressly</w:t>
            </w:r>
            <w:r w:rsidR="0002385F">
              <w:t xml:space="preserve"> </w:t>
            </w:r>
            <w:r w:rsidR="00DB08D8">
              <w:t>do</w:t>
            </w:r>
            <w:r>
              <w:t>es</w:t>
            </w:r>
            <w:r w:rsidR="00DB08D8" w:rsidRPr="0002385F">
              <w:t xml:space="preserve"> </w:t>
            </w:r>
            <w:r w:rsidR="0002385F" w:rsidRPr="0002385F">
              <w:t>not apply to</w:t>
            </w:r>
            <w:r w:rsidR="0037622C">
              <w:t xml:space="preserve"> such a </w:t>
            </w:r>
            <w:r w:rsidR="0002385F" w:rsidRPr="0002385F">
              <w:t>cause of action</w:t>
            </w:r>
            <w:r w:rsidR="0037622C">
              <w:t xml:space="preserve"> </w:t>
            </w:r>
            <w:r w:rsidR="0002385F" w:rsidRPr="0002385F">
              <w:t>that commences on or after th</w:t>
            </w:r>
            <w:r w:rsidR="0037622C">
              <w:t>at</w:t>
            </w:r>
            <w:r w:rsidR="0002385F" w:rsidRPr="0002385F">
              <w:t xml:space="preserve"> date under a contract entered into before that date.</w:t>
            </w:r>
          </w:p>
          <w:p w14:paraId="3F8B0AAC" w14:textId="77777777" w:rsidR="008423E4" w:rsidRPr="00835628" w:rsidRDefault="008423E4" w:rsidP="00335FC3">
            <w:pPr>
              <w:rPr>
                <w:b/>
              </w:rPr>
            </w:pPr>
          </w:p>
        </w:tc>
      </w:tr>
      <w:tr w:rsidR="00BA3615" w14:paraId="04E5FC39" w14:textId="77777777" w:rsidTr="00335FC3">
        <w:tc>
          <w:tcPr>
            <w:tcW w:w="9360" w:type="dxa"/>
          </w:tcPr>
          <w:p w14:paraId="3396BC87" w14:textId="77777777" w:rsidR="008423E4" w:rsidRPr="00A8133F" w:rsidRDefault="00347101" w:rsidP="00335FC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CB598A" w14:textId="77777777" w:rsidR="008423E4" w:rsidRDefault="008423E4" w:rsidP="00335FC3"/>
          <w:p w14:paraId="6C36DC72" w14:textId="50564E6D" w:rsidR="008423E4" w:rsidRPr="003624F2" w:rsidRDefault="00347101" w:rsidP="00335F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FB3EF0A" w14:textId="77777777" w:rsidR="008423E4" w:rsidRPr="00233FDB" w:rsidRDefault="008423E4" w:rsidP="00335FC3">
            <w:pPr>
              <w:rPr>
                <w:b/>
              </w:rPr>
            </w:pPr>
          </w:p>
        </w:tc>
      </w:tr>
      <w:tr w:rsidR="00BA3615" w14:paraId="71DC791B" w14:textId="77777777" w:rsidTr="00335FC3">
        <w:tc>
          <w:tcPr>
            <w:tcW w:w="9360" w:type="dxa"/>
          </w:tcPr>
          <w:p w14:paraId="5B5FF5CE" w14:textId="77777777" w:rsidR="007D6362" w:rsidRDefault="00347101" w:rsidP="00335FC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BA37FB8" w14:textId="77777777" w:rsidR="005E3C36" w:rsidRDefault="005E3C36" w:rsidP="00335FC3">
            <w:pPr>
              <w:jc w:val="both"/>
              <w:rPr>
                <w:b/>
                <w:u w:val="single"/>
              </w:rPr>
            </w:pPr>
          </w:p>
          <w:p w14:paraId="40953EC8" w14:textId="77777777" w:rsidR="00A64C4B" w:rsidRDefault="00347101" w:rsidP="00335FC3">
            <w:pPr>
              <w:jc w:val="both"/>
            </w:pPr>
            <w:r>
              <w:t xml:space="preserve">While C.S.H.B. 2024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38965ABE" w14:textId="77777777" w:rsidR="00A64C4B" w:rsidRDefault="00A64C4B" w:rsidP="00335FC3">
            <w:pPr>
              <w:jc w:val="both"/>
            </w:pPr>
          </w:p>
          <w:p w14:paraId="7B240DED" w14:textId="77777777" w:rsidR="00A64C4B" w:rsidRDefault="00347101" w:rsidP="00335FC3">
            <w:pPr>
              <w:jc w:val="both"/>
            </w:pPr>
            <w:r w:rsidRPr="00041C86">
              <w:t xml:space="preserve">The substitute </w:t>
            </w:r>
            <w:r>
              <w:t>does not include</w:t>
            </w:r>
            <w:r w:rsidRPr="00041C86">
              <w:t xml:space="preserve"> the provision</w:t>
            </w:r>
            <w:r w:rsidRPr="0035496F">
              <w:t xml:space="preserve"> from the introduced</w:t>
            </w:r>
            <w:r>
              <w:t xml:space="preserve">, applicable to a registered or licensed architect, engineer, interior designer, or landscape architect in Texas, </w:t>
            </w:r>
            <w:r w:rsidRPr="00041C86">
              <w:t xml:space="preserve">that </w:t>
            </w:r>
            <w:r>
              <w:t>created an eight-year limitation for filing a suit applicable to residential construction arising out of a defective or unsafe condition.</w:t>
            </w:r>
            <w:r>
              <w:t xml:space="preserve"> </w:t>
            </w:r>
            <w:r w:rsidRPr="0035496F">
              <w:t xml:space="preserve">The substitute </w:t>
            </w:r>
            <w:r>
              <w:t>does not include the related provision extending that limitation period for one year if the claimant presented a written claim.</w:t>
            </w:r>
          </w:p>
          <w:p w14:paraId="3137344F" w14:textId="77777777" w:rsidR="00A64C4B" w:rsidRDefault="00A64C4B" w:rsidP="00335FC3">
            <w:pPr>
              <w:jc w:val="both"/>
            </w:pPr>
          </w:p>
          <w:p w14:paraId="2DDE943D" w14:textId="28420DCF" w:rsidR="00A64C4B" w:rsidRDefault="00347101" w:rsidP="00335FC3">
            <w:pPr>
              <w:jc w:val="both"/>
            </w:pPr>
            <w:r>
              <w:t xml:space="preserve">Both the introduced and the substitute provide for a limitations period for a claimant </w:t>
            </w:r>
            <w:r w:rsidRPr="007E5A4C">
              <w:t>to bring suit for damage</w:t>
            </w:r>
            <w:r w:rsidRPr="007E5A4C">
              <w:t>s</w:t>
            </w:r>
            <w:r>
              <w:t xml:space="preserve">, </w:t>
            </w:r>
            <w:r w:rsidRPr="00A22A7D">
              <w:t>with respect to any claim arising out of the design,</w:t>
            </w:r>
            <w:r>
              <w:t xml:space="preserve"> </w:t>
            </w:r>
            <w:r w:rsidRPr="00A22A7D">
              <w:t>construction, or repair of a new residence</w:t>
            </w:r>
            <w:r>
              <w:t xml:space="preserve">, </w:t>
            </w:r>
            <w:r w:rsidRPr="00A64C4B">
              <w:t>of an alteration of or repair or addition to an existing residence, or of an appurtenance to a residence</w:t>
            </w:r>
            <w:r>
              <w:t>. However, the substitute changes the provision as f</w:t>
            </w:r>
            <w:r>
              <w:t>ollows:</w:t>
            </w:r>
          </w:p>
          <w:p w14:paraId="4EE9C452" w14:textId="77777777" w:rsidR="00A64C4B" w:rsidRDefault="00347101" w:rsidP="00335FC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extends the limitations period</w:t>
            </w:r>
            <w:r w:rsidRPr="00A106C6">
              <w:t xml:space="preserve"> </w:t>
            </w:r>
            <w:r>
              <w:t>from eight years, as in the introduced, to 10 years;</w:t>
            </w:r>
          </w:p>
          <w:p w14:paraId="791D67A9" w14:textId="77777777" w:rsidR="00A64C4B" w:rsidRDefault="00347101" w:rsidP="00335FC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extends the limitations period from five years, as in the introduced, to six years for a claimant to bring suit i</w:t>
            </w:r>
            <w:r w:rsidRPr="004D6F1C">
              <w:t>f the contractor being sued provided a written warr</w:t>
            </w:r>
            <w:r w:rsidRPr="004D6F1C">
              <w:t>anty for the residence that provides minimum period</w:t>
            </w:r>
            <w:r>
              <w:t>s for certain components of the improvements;</w:t>
            </w:r>
          </w:p>
          <w:p w14:paraId="2C56C444" w14:textId="77777777" w:rsidR="00335FC3" w:rsidRDefault="00347101" w:rsidP="00335FC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extends from five years, as in the introduced, to six years the minimum period required to be provided in the warranty for major structural components; and</w:t>
            </w:r>
          </w:p>
          <w:p w14:paraId="060E68F0" w14:textId="0EFD73F9" w:rsidR="00A64C4B" w:rsidRPr="00335FC3" w:rsidRDefault="00347101" w:rsidP="00335FC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includes a definition of "residence."</w:t>
            </w:r>
          </w:p>
        </w:tc>
      </w:tr>
    </w:tbl>
    <w:p w14:paraId="0609C2EB" w14:textId="77777777" w:rsidR="008423E4" w:rsidRPr="00BE0E75" w:rsidRDefault="008423E4" w:rsidP="00335FC3">
      <w:pPr>
        <w:jc w:val="both"/>
        <w:rPr>
          <w:rFonts w:ascii="Arial" w:hAnsi="Arial"/>
          <w:sz w:val="16"/>
          <w:szCs w:val="16"/>
        </w:rPr>
      </w:pPr>
    </w:p>
    <w:p w14:paraId="3F876B4B" w14:textId="77777777" w:rsidR="004108C3" w:rsidRPr="008423E4" w:rsidRDefault="004108C3" w:rsidP="00335FC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2D1" w14:textId="77777777" w:rsidR="00000000" w:rsidRDefault="00347101">
      <w:r>
        <w:separator/>
      </w:r>
    </w:p>
  </w:endnote>
  <w:endnote w:type="continuationSeparator" w:id="0">
    <w:p w14:paraId="4C140C98" w14:textId="77777777" w:rsidR="00000000" w:rsidRDefault="0034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52A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3615" w14:paraId="3D4B94BC" w14:textId="77777777" w:rsidTr="009C1E9A">
      <w:trPr>
        <w:cantSplit/>
      </w:trPr>
      <w:tc>
        <w:tcPr>
          <w:tcW w:w="0" w:type="pct"/>
        </w:tcPr>
        <w:p w14:paraId="12AB7D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C9E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7D04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301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EC60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3615" w14:paraId="6B56A43C" w14:textId="77777777" w:rsidTr="009C1E9A">
      <w:trPr>
        <w:cantSplit/>
      </w:trPr>
      <w:tc>
        <w:tcPr>
          <w:tcW w:w="0" w:type="pct"/>
        </w:tcPr>
        <w:p w14:paraId="1795C3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789DE5" w14:textId="2C9856B6" w:rsidR="00EC379B" w:rsidRPr="009C1E9A" w:rsidRDefault="003471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23206-D</w:t>
          </w:r>
        </w:p>
      </w:tc>
      <w:tc>
        <w:tcPr>
          <w:tcW w:w="2453" w:type="pct"/>
        </w:tcPr>
        <w:p w14:paraId="194E4917" w14:textId="0171801E" w:rsidR="00EC379B" w:rsidRDefault="003471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5FB2">
            <w:t>23.102.570</w:t>
          </w:r>
          <w:r>
            <w:fldChar w:fldCharType="end"/>
          </w:r>
        </w:p>
      </w:tc>
    </w:tr>
    <w:tr w:rsidR="00BA3615" w14:paraId="258A92BA" w14:textId="77777777" w:rsidTr="009C1E9A">
      <w:trPr>
        <w:cantSplit/>
      </w:trPr>
      <w:tc>
        <w:tcPr>
          <w:tcW w:w="0" w:type="pct"/>
        </w:tcPr>
        <w:p w14:paraId="75E78A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B688E2" w14:textId="15F2006F" w:rsidR="00EC379B" w:rsidRPr="009C1E9A" w:rsidRDefault="0034710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19891</w:t>
          </w:r>
        </w:p>
      </w:tc>
      <w:tc>
        <w:tcPr>
          <w:tcW w:w="2453" w:type="pct"/>
        </w:tcPr>
        <w:p w14:paraId="4BAE27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3724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3615" w14:paraId="0BA41B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2BB878" w14:textId="77777777" w:rsidR="00EC379B" w:rsidRDefault="003471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50B7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B757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FD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03F" w14:textId="77777777" w:rsidR="00000000" w:rsidRDefault="00347101">
      <w:r>
        <w:separator/>
      </w:r>
    </w:p>
  </w:footnote>
  <w:footnote w:type="continuationSeparator" w:id="0">
    <w:p w14:paraId="57239376" w14:textId="77777777" w:rsidR="00000000" w:rsidRDefault="0034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895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874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D0D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2111"/>
    <w:multiLevelType w:val="hybridMultilevel"/>
    <w:tmpl w:val="7CA07CA8"/>
    <w:lvl w:ilvl="0" w:tplc="ED6CE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0A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AE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E4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B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86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3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0F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2D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1828"/>
    <w:multiLevelType w:val="hybridMultilevel"/>
    <w:tmpl w:val="CF36CAFE"/>
    <w:lvl w:ilvl="0" w:tplc="FF6A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AA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44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B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0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88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5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5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CB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E374B"/>
    <w:multiLevelType w:val="hybridMultilevel"/>
    <w:tmpl w:val="F3743958"/>
    <w:lvl w:ilvl="0" w:tplc="B734F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E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CE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20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A4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69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E3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03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29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622">
    <w:abstractNumId w:val="0"/>
  </w:num>
  <w:num w:numId="2" w16cid:durableId="977732005">
    <w:abstractNumId w:val="1"/>
  </w:num>
  <w:num w:numId="3" w16cid:durableId="85762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BA"/>
    <w:rsid w:val="00000A70"/>
    <w:rsid w:val="000032B8"/>
    <w:rsid w:val="00003351"/>
    <w:rsid w:val="00003B06"/>
    <w:rsid w:val="000054B9"/>
    <w:rsid w:val="00007461"/>
    <w:rsid w:val="0001117E"/>
    <w:rsid w:val="0001125F"/>
    <w:rsid w:val="00012732"/>
    <w:rsid w:val="0001338E"/>
    <w:rsid w:val="00013D24"/>
    <w:rsid w:val="00014AF0"/>
    <w:rsid w:val="00014BDA"/>
    <w:rsid w:val="000155D6"/>
    <w:rsid w:val="00015D4E"/>
    <w:rsid w:val="00020C1E"/>
    <w:rsid w:val="00020E9B"/>
    <w:rsid w:val="000236C1"/>
    <w:rsid w:val="000236EC"/>
    <w:rsid w:val="0002371D"/>
    <w:rsid w:val="0002385F"/>
    <w:rsid w:val="0002413D"/>
    <w:rsid w:val="000249F2"/>
    <w:rsid w:val="00027E81"/>
    <w:rsid w:val="00030AD8"/>
    <w:rsid w:val="0003107A"/>
    <w:rsid w:val="00031C95"/>
    <w:rsid w:val="00032B72"/>
    <w:rsid w:val="000330D4"/>
    <w:rsid w:val="0003572D"/>
    <w:rsid w:val="00035DB0"/>
    <w:rsid w:val="00037088"/>
    <w:rsid w:val="000400D5"/>
    <w:rsid w:val="00041C86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7EB"/>
    <w:rsid w:val="00064B9B"/>
    <w:rsid w:val="00064BF2"/>
    <w:rsid w:val="000667BA"/>
    <w:rsid w:val="000676A7"/>
    <w:rsid w:val="00073914"/>
    <w:rsid w:val="00074236"/>
    <w:rsid w:val="000746BD"/>
    <w:rsid w:val="00074B0B"/>
    <w:rsid w:val="00076D7D"/>
    <w:rsid w:val="00080D95"/>
    <w:rsid w:val="00090E6B"/>
    <w:rsid w:val="00091B2C"/>
    <w:rsid w:val="00091F3A"/>
    <w:rsid w:val="00092ABC"/>
    <w:rsid w:val="00097AAF"/>
    <w:rsid w:val="00097D13"/>
    <w:rsid w:val="000A4893"/>
    <w:rsid w:val="000A54E0"/>
    <w:rsid w:val="000A72C4"/>
    <w:rsid w:val="000B0A7B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15E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BCA"/>
    <w:rsid w:val="00127893"/>
    <w:rsid w:val="001312BB"/>
    <w:rsid w:val="00137D90"/>
    <w:rsid w:val="00141FB6"/>
    <w:rsid w:val="00142C74"/>
    <w:rsid w:val="00142F8E"/>
    <w:rsid w:val="00143C8B"/>
    <w:rsid w:val="00147530"/>
    <w:rsid w:val="00151BF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720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51"/>
    <w:rsid w:val="001A2BDD"/>
    <w:rsid w:val="001A3DDF"/>
    <w:rsid w:val="001A4310"/>
    <w:rsid w:val="001B053A"/>
    <w:rsid w:val="001B26D8"/>
    <w:rsid w:val="001B3BFA"/>
    <w:rsid w:val="001B75B8"/>
    <w:rsid w:val="001C1230"/>
    <w:rsid w:val="001C4195"/>
    <w:rsid w:val="001C60B5"/>
    <w:rsid w:val="001C61B0"/>
    <w:rsid w:val="001C6D95"/>
    <w:rsid w:val="001C7957"/>
    <w:rsid w:val="001C7AF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55E"/>
    <w:rsid w:val="001F2189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CFF"/>
    <w:rsid w:val="00267841"/>
    <w:rsid w:val="002710C3"/>
    <w:rsid w:val="0027336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249"/>
    <w:rsid w:val="00303B0C"/>
    <w:rsid w:val="0030459C"/>
    <w:rsid w:val="0031203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FC3"/>
    <w:rsid w:val="00336BA4"/>
    <w:rsid w:val="00336C7A"/>
    <w:rsid w:val="00337392"/>
    <w:rsid w:val="00337659"/>
    <w:rsid w:val="003427C9"/>
    <w:rsid w:val="00343A92"/>
    <w:rsid w:val="00344530"/>
    <w:rsid w:val="003446DC"/>
    <w:rsid w:val="00347101"/>
    <w:rsid w:val="00347130"/>
    <w:rsid w:val="00347B4A"/>
    <w:rsid w:val="003500C3"/>
    <w:rsid w:val="003523BD"/>
    <w:rsid w:val="00352681"/>
    <w:rsid w:val="003536AA"/>
    <w:rsid w:val="003544CE"/>
    <w:rsid w:val="0035496F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F63"/>
    <w:rsid w:val="003747DF"/>
    <w:rsid w:val="0037622C"/>
    <w:rsid w:val="00377E3D"/>
    <w:rsid w:val="003847E8"/>
    <w:rsid w:val="0038731D"/>
    <w:rsid w:val="00387B60"/>
    <w:rsid w:val="00390098"/>
    <w:rsid w:val="00392DA1"/>
    <w:rsid w:val="00393718"/>
    <w:rsid w:val="003959C6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C5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6FD"/>
    <w:rsid w:val="00461B69"/>
    <w:rsid w:val="00462B3D"/>
    <w:rsid w:val="004720F0"/>
    <w:rsid w:val="00474927"/>
    <w:rsid w:val="00475913"/>
    <w:rsid w:val="00476EE7"/>
    <w:rsid w:val="00480080"/>
    <w:rsid w:val="004824A7"/>
    <w:rsid w:val="00482BA9"/>
    <w:rsid w:val="00482F75"/>
    <w:rsid w:val="00483AF0"/>
    <w:rsid w:val="00484167"/>
    <w:rsid w:val="00485FB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8E7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F1C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733"/>
    <w:rsid w:val="004F4A1C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FD7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BB3"/>
    <w:rsid w:val="005D4DAE"/>
    <w:rsid w:val="005D767D"/>
    <w:rsid w:val="005D7A30"/>
    <w:rsid w:val="005D7D3B"/>
    <w:rsid w:val="005E1999"/>
    <w:rsid w:val="005E232C"/>
    <w:rsid w:val="005E2B83"/>
    <w:rsid w:val="005E3C36"/>
    <w:rsid w:val="005E4AEB"/>
    <w:rsid w:val="005E738F"/>
    <w:rsid w:val="005E788B"/>
    <w:rsid w:val="005F1519"/>
    <w:rsid w:val="005F4862"/>
    <w:rsid w:val="005F5679"/>
    <w:rsid w:val="005F5EFB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5B1"/>
    <w:rsid w:val="00632928"/>
    <w:rsid w:val="00632A13"/>
    <w:rsid w:val="006330DA"/>
    <w:rsid w:val="00633262"/>
    <w:rsid w:val="00633460"/>
    <w:rsid w:val="0063443B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060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A2D"/>
    <w:rsid w:val="006A3487"/>
    <w:rsid w:val="006A5A41"/>
    <w:rsid w:val="006A6068"/>
    <w:rsid w:val="006B0D9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37D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937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9A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B58"/>
    <w:rsid w:val="00753BD2"/>
    <w:rsid w:val="00753E9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362"/>
    <w:rsid w:val="007D7FCB"/>
    <w:rsid w:val="007E33B6"/>
    <w:rsid w:val="007E59E8"/>
    <w:rsid w:val="007E5A4C"/>
    <w:rsid w:val="007F336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36E"/>
    <w:rsid w:val="008170E2"/>
    <w:rsid w:val="00823E4C"/>
    <w:rsid w:val="00827749"/>
    <w:rsid w:val="00827B7E"/>
    <w:rsid w:val="00830EEB"/>
    <w:rsid w:val="00831C2F"/>
    <w:rsid w:val="008347A9"/>
    <w:rsid w:val="00835628"/>
    <w:rsid w:val="00835E90"/>
    <w:rsid w:val="008375F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DBA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30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A14"/>
    <w:rsid w:val="009851B3"/>
    <w:rsid w:val="00985300"/>
    <w:rsid w:val="00986720"/>
    <w:rsid w:val="00987F00"/>
    <w:rsid w:val="00987F8B"/>
    <w:rsid w:val="0099403D"/>
    <w:rsid w:val="00995B0B"/>
    <w:rsid w:val="00995B5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EBE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8EF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6C6"/>
    <w:rsid w:val="00A10908"/>
    <w:rsid w:val="00A12330"/>
    <w:rsid w:val="00A1259F"/>
    <w:rsid w:val="00A1446F"/>
    <w:rsid w:val="00A151B5"/>
    <w:rsid w:val="00A220FF"/>
    <w:rsid w:val="00A227E0"/>
    <w:rsid w:val="00A22A7D"/>
    <w:rsid w:val="00A232E4"/>
    <w:rsid w:val="00A24AAD"/>
    <w:rsid w:val="00A26A8A"/>
    <w:rsid w:val="00A27255"/>
    <w:rsid w:val="00A31883"/>
    <w:rsid w:val="00A32304"/>
    <w:rsid w:val="00A3420E"/>
    <w:rsid w:val="00A35D66"/>
    <w:rsid w:val="00A3613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C4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791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650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E8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18C"/>
    <w:rsid w:val="00B90999"/>
    <w:rsid w:val="00B91AD7"/>
    <w:rsid w:val="00B92D23"/>
    <w:rsid w:val="00B95BC8"/>
    <w:rsid w:val="00B96E87"/>
    <w:rsid w:val="00BA146A"/>
    <w:rsid w:val="00BA32EE"/>
    <w:rsid w:val="00BA3615"/>
    <w:rsid w:val="00BA4CB5"/>
    <w:rsid w:val="00BA78D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6CA"/>
    <w:rsid w:val="00BD4E55"/>
    <w:rsid w:val="00BD4E9D"/>
    <w:rsid w:val="00BD4FFB"/>
    <w:rsid w:val="00BD513B"/>
    <w:rsid w:val="00BD5E52"/>
    <w:rsid w:val="00BD6A74"/>
    <w:rsid w:val="00BE00CD"/>
    <w:rsid w:val="00BE0E75"/>
    <w:rsid w:val="00BE1789"/>
    <w:rsid w:val="00BE3634"/>
    <w:rsid w:val="00BE3E30"/>
    <w:rsid w:val="00BE5274"/>
    <w:rsid w:val="00BE71CD"/>
    <w:rsid w:val="00BE735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2D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702"/>
    <w:rsid w:val="00C46166"/>
    <w:rsid w:val="00C461CE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F59"/>
    <w:rsid w:val="00C95150"/>
    <w:rsid w:val="00C954CA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379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1DD"/>
    <w:rsid w:val="00D0452D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A20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8D8"/>
    <w:rsid w:val="00DB311F"/>
    <w:rsid w:val="00DB53C6"/>
    <w:rsid w:val="00DB59E3"/>
    <w:rsid w:val="00DB6CB6"/>
    <w:rsid w:val="00DB758F"/>
    <w:rsid w:val="00DC1F1B"/>
    <w:rsid w:val="00DC230A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31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C5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69F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798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2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4CB"/>
    <w:rsid w:val="00F44349"/>
    <w:rsid w:val="00F4569E"/>
    <w:rsid w:val="00F45AFC"/>
    <w:rsid w:val="00F462F4"/>
    <w:rsid w:val="00F50130"/>
    <w:rsid w:val="00F512D9"/>
    <w:rsid w:val="00F52402"/>
    <w:rsid w:val="00F5605D"/>
    <w:rsid w:val="00F60AC1"/>
    <w:rsid w:val="00F6514B"/>
    <w:rsid w:val="00F6533E"/>
    <w:rsid w:val="00F6587F"/>
    <w:rsid w:val="00F67981"/>
    <w:rsid w:val="00F706CA"/>
    <w:rsid w:val="00F708E4"/>
    <w:rsid w:val="00F70F8D"/>
    <w:rsid w:val="00F71C5A"/>
    <w:rsid w:val="00F733A4"/>
    <w:rsid w:val="00F7758F"/>
    <w:rsid w:val="00F82811"/>
    <w:rsid w:val="00F84153"/>
    <w:rsid w:val="00F85661"/>
    <w:rsid w:val="00F9369A"/>
    <w:rsid w:val="00F96602"/>
    <w:rsid w:val="00F9735A"/>
    <w:rsid w:val="00FA32FC"/>
    <w:rsid w:val="00FA59FD"/>
    <w:rsid w:val="00FA5D8C"/>
    <w:rsid w:val="00FA6403"/>
    <w:rsid w:val="00FB16CD"/>
    <w:rsid w:val="00FB73AE"/>
    <w:rsid w:val="00FC4146"/>
    <w:rsid w:val="00FC5388"/>
    <w:rsid w:val="00FC726C"/>
    <w:rsid w:val="00FD1B4B"/>
    <w:rsid w:val="00FD1B94"/>
    <w:rsid w:val="00FE19C5"/>
    <w:rsid w:val="00FE4286"/>
    <w:rsid w:val="00FE48C3"/>
    <w:rsid w:val="00FE4B0E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F73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8E84B6-34EF-4B08-A66E-952B0720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F47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4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7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791"/>
    <w:rPr>
      <w:b/>
      <w:bCs/>
    </w:rPr>
  </w:style>
  <w:style w:type="paragraph" w:styleId="Revision">
    <w:name w:val="Revision"/>
    <w:hidden/>
    <w:uiPriority w:val="99"/>
    <w:semiHidden/>
    <w:rsid w:val="006B0D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5252</Characters>
  <Application>Microsoft Office Word</Application>
  <DocSecurity>4</DocSecurity>
  <Lines>108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HB02024 (Committee Report (Substituted))</vt:lpstr>
    </vt:vector>
  </TitlesOfParts>
  <Company>State of Texas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23206</dc:subject>
  <dc:creator>State of Texas</dc:creator>
  <dc:description>HB 2024 by Leach-(H)Judiciary &amp; Civil Jurisprudence (Substitute Document Number: 88R 19891)</dc:description>
  <cp:lastModifiedBy>Stacey Nicchio</cp:lastModifiedBy>
  <cp:revision>2</cp:revision>
  <cp:lastPrinted>2003-11-26T17:21:00Z</cp:lastPrinted>
  <dcterms:created xsi:type="dcterms:W3CDTF">2023-04-14T19:14:00Z</dcterms:created>
  <dcterms:modified xsi:type="dcterms:W3CDTF">2023-04-14T19:14:00Z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23.102.570</vt:lpwstr>
  </property>
</Properties>
</file>