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C08B9" w14:paraId="6131F727" w14:textId="77777777" w:rsidTr="00345119">
        <w:tc>
          <w:tcPr>
            <w:tcW w:w="9576" w:type="dxa"/>
            <w:noWrap/>
          </w:tcPr>
          <w:p w14:paraId="711F84AE" w14:textId="77777777" w:rsidR="008423E4" w:rsidRPr="0022177D" w:rsidRDefault="002E4548" w:rsidP="00692AD9">
            <w:pPr>
              <w:pStyle w:val="Heading1"/>
            </w:pPr>
            <w:r w:rsidRPr="00631897">
              <w:t>BILL ANALYSIS</w:t>
            </w:r>
          </w:p>
        </w:tc>
      </w:tr>
    </w:tbl>
    <w:p w14:paraId="54E37B64" w14:textId="77777777" w:rsidR="008423E4" w:rsidRPr="0022177D" w:rsidRDefault="008423E4" w:rsidP="00692AD9">
      <w:pPr>
        <w:jc w:val="center"/>
      </w:pPr>
    </w:p>
    <w:p w14:paraId="36019E92" w14:textId="77777777" w:rsidR="008423E4" w:rsidRPr="00B31F0E" w:rsidRDefault="008423E4" w:rsidP="00692AD9"/>
    <w:p w14:paraId="772D0873" w14:textId="77777777" w:rsidR="008423E4" w:rsidRPr="00742794" w:rsidRDefault="008423E4" w:rsidP="00692AD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C08B9" w14:paraId="38BDA22E" w14:textId="77777777" w:rsidTr="00345119">
        <w:tc>
          <w:tcPr>
            <w:tcW w:w="9576" w:type="dxa"/>
          </w:tcPr>
          <w:p w14:paraId="15AA1393" w14:textId="5125C471" w:rsidR="008423E4" w:rsidRPr="00861995" w:rsidRDefault="002E4548" w:rsidP="00692AD9">
            <w:pPr>
              <w:jc w:val="right"/>
            </w:pPr>
            <w:r>
              <w:t>C.S.H.B. 2033</w:t>
            </w:r>
          </w:p>
        </w:tc>
      </w:tr>
      <w:tr w:rsidR="009C08B9" w14:paraId="48346B19" w14:textId="77777777" w:rsidTr="00345119">
        <w:tc>
          <w:tcPr>
            <w:tcW w:w="9576" w:type="dxa"/>
          </w:tcPr>
          <w:p w14:paraId="5E0385E4" w14:textId="74D8A25A" w:rsidR="008423E4" w:rsidRPr="00861995" w:rsidRDefault="002E4548" w:rsidP="00692AD9">
            <w:pPr>
              <w:jc w:val="right"/>
            </w:pPr>
            <w:r>
              <w:t xml:space="preserve">By: </w:t>
            </w:r>
            <w:r w:rsidR="00AB7541">
              <w:t>Guillen</w:t>
            </w:r>
          </w:p>
        </w:tc>
      </w:tr>
      <w:tr w:rsidR="009C08B9" w14:paraId="1E6A5BDE" w14:textId="77777777" w:rsidTr="00345119">
        <w:tc>
          <w:tcPr>
            <w:tcW w:w="9576" w:type="dxa"/>
          </w:tcPr>
          <w:p w14:paraId="1DFD6DCF" w14:textId="2E41C8EA" w:rsidR="008423E4" w:rsidRPr="00861995" w:rsidRDefault="002E4548" w:rsidP="00692AD9">
            <w:pPr>
              <w:jc w:val="right"/>
            </w:pPr>
            <w:r>
              <w:t>State Affairs</w:t>
            </w:r>
          </w:p>
        </w:tc>
      </w:tr>
      <w:tr w:rsidR="009C08B9" w14:paraId="1C16A7D7" w14:textId="77777777" w:rsidTr="00345119">
        <w:tc>
          <w:tcPr>
            <w:tcW w:w="9576" w:type="dxa"/>
          </w:tcPr>
          <w:p w14:paraId="715319EE" w14:textId="3D8D18FE" w:rsidR="008423E4" w:rsidRDefault="002E4548" w:rsidP="00692AD9">
            <w:pPr>
              <w:jc w:val="right"/>
            </w:pPr>
            <w:r>
              <w:t>Committee Report (Substituted)</w:t>
            </w:r>
          </w:p>
        </w:tc>
      </w:tr>
    </w:tbl>
    <w:p w14:paraId="2C3197A2" w14:textId="77777777" w:rsidR="008423E4" w:rsidRDefault="008423E4" w:rsidP="00692AD9">
      <w:pPr>
        <w:tabs>
          <w:tab w:val="right" w:pos="9360"/>
        </w:tabs>
      </w:pPr>
    </w:p>
    <w:p w14:paraId="0592E1FE" w14:textId="77777777" w:rsidR="008423E4" w:rsidRDefault="008423E4" w:rsidP="00692AD9"/>
    <w:p w14:paraId="6EF49354" w14:textId="77777777" w:rsidR="008423E4" w:rsidRDefault="008423E4" w:rsidP="00692AD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C08B9" w14:paraId="106D97F6" w14:textId="77777777" w:rsidTr="00345119">
        <w:tc>
          <w:tcPr>
            <w:tcW w:w="9576" w:type="dxa"/>
          </w:tcPr>
          <w:p w14:paraId="37C4F75A" w14:textId="77777777" w:rsidR="008423E4" w:rsidRPr="00A8133F" w:rsidRDefault="002E4548" w:rsidP="00692AD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A51F8A9" w14:textId="77777777" w:rsidR="008423E4" w:rsidRDefault="008423E4" w:rsidP="00692AD9"/>
          <w:p w14:paraId="55BD3160" w14:textId="2143476F" w:rsidR="008423E4" w:rsidRDefault="002E4548" w:rsidP="00692A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Pr="00A3262F">
              <w:t>urrent</w:t>
            </w:r>
            <w:r>
              <w:t>ly,</w:t>
            </w:r>
            <w:r w:rsidRPr="00A3262F">
              <w:t xml:space="preserve"> the Texas Department of Transportation</w:t>
            </w:r>
            <w:r>
              <w:t xml:space="preserve"> (TxDOT) is not represented on</w:t>
            </w:r>
            <w:r w:rsidRPr="00A3262F">
              <w:t xml:space="preserve"> the Texas Electric</w:t>
            </w:r>
            <w:r w:rsidR="00251F43">
              <w:t>ity</w:t>
            </w:r>
            <w:r w:rsidRPr="00A3262F">
              <w:t xml:space="preserve"> Supply Chain Security and Mapping Committee. </w:t>
            </w:r>
            <w:r>
              <w:t>This presents an</w:t>
            </w:r>
            <w:r w:rsidRPr="00A3262F">
              <w:t xml:space="preserve"> issue in an event where TxDOT needs access to the electricity supply chain map in order to repair damages and </w:t>
            </w:r>
            <w:r>
              <w:t xml:space="preserve">respond to </w:t>
            </w:r>
            <w:r w:rsidRPr="00A3262F">
              <w:t>emergencies.</w:t>
            </w:r>
            <w:r w:rsidR="00886BB3">
              <w:t xml:space="preserve"> Moreover, roads and </w:t>
            </w:r>
            <w:r w:rsidR="00886BB3" w:rsidRPr="00A3262F">
              <w:t>critical infrastructure such as water or wastewater treatment plants</w:t>
            </w:r>
            <w:r w:rsidR="00886BB3">
              <w:t xml:space="preserve"> are not considered to be part of the electricity supply chain</w:t>
            </w:r>
            <w:r w:rsidR="009F5151">
              <w:t>.</w:t>
            </w:r>
            <w:r>
              <w:t xml:space="preserve"> C.S.</w:t>
            </w:r>
            <w:r w:rsidRPr="00A3262F">
              <w:t xml:space="preserve">H.B. 2033 </w:t>
            </w:r>
            <w:r>
              <w:t>seeks</w:t>
            </w:r>
            <w:r w:rsidRPr="00A3262F">
              <w:t xml:space="preserve"> to ensure </w:t>
            </w:r>
            <w:r w:rsidR="00886BB3">
              <w:t xml:space="preserve">that TxDOT has </w:t>
            </w:r>
            <w:r w:rsidRPr="00A3262F">
              <w:t>access to the electric</w:t>
            </w:r>
            <w:r w:rsidR="00D13ECC">
              <w:t>ity</w:t>
            </w:r>
            <w:r w:rsidRPr="00A3262F">
              <w:t xml:space="preserve"> supply chain map for future repairs</w:t>
            </w:r>
            <w:r w:rsidR="00886BB3">
              <w:t xml:space="preserve"> needs and that the definition of </w:t>
            </w:r>
            <w:r w:rsidR="00AA3A0A">
              <w:t>electricity supply chain is expansive enough to encompass roads and water and wastewater treatment plants.</w:t>
            </w:r>
          </w:p>
          <w:p w14:paraId="561C22BD" w14:textId="77777777" w:rsidR="008423E4" w:rsidRPr="00E26B13" w:rsidRDefault="008423E4" w:rsidP="00692AD9">
            <w:pPr>
              <w:rPr>
                <w:b/>
              </w:rPr>
            </w:pPr>
          </w:p>
        </w:tc>
      </w:tr>
      <w:tr w:rsidR="009C08B9" w14:paraId="519A5EB4" w14:textId="77777777" w:rsidTr="00345119">
        <w:tc>
          <w:tcPr>
            <w:tcW w:w="9576" w:type="dxa"/>
          </w:tcPr>
          <w:p w14:paraId="576B700A" w14:textId="77777777" w:rsidR="0017725B" w:rsidRDefault="002E4548" w:rsidP="00692A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FB607E6" w14:textId="77777777" w:rsidR="0017725B" w:rsidRDefault="0017725B" w:rsidP="00692AD9">
            <w:pPr>
              <w:rPr>
                <w:b/>
                <w:u w:val="single"/>
              </w:rPr>
            </w:pPr>
          </w:p>
          <w:p w14:paraId="3A121802" w14:textId="632FC65D" w:rsidR="00DD03C7" w:rsidRPr="00DD03C7" w:rsidRDefault="002E4548" w:rsidP="00692AD9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3340A22D" w14:textId="77777777" w:rsidR="0017725B" w:rsidRPr="0017725B" w:rsidRDefault="0017725B" w:rsidP="00692AD9">
            <w:pPr>
              <w:rPr>
                <w:b/>
                <w:u w:val="single"/>
              </w:rPr>
            </w:pPr>
          </w:p>
        </w:tc>
      </w:tr>
      <w:tr w:rsidR="009C08B9" w14:paraId="19F6F7C5" w14:textId="77777777" w:rsidTr="00345119">
        <w:tc>
          <w:tcPr>
            <w:tcW w:w="9576" w:type="dxa"/>
          </w:tcPr>
          <w:p w14:paraId="2A300EBC" w14:textId="77777777" w:rsidR="008423E4" w:rsidRPr="00A8133F" w:rsidRDefault="002E4548" w:rsidP="00692AD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0B218FE" w14:textId="77777777" w:rsidR="008423E4" w:rsidRDefault="008423E4" w:rsidP="00692AD9"/>
          <w:p w14:paraId="293314AB" w14:textId="27ACA23D" w:rsidR="00DD03C7" w:rsidRDefault="002E4548" w:rsidP="00692A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</w:t>
            </w:r>
            <w:r>
              <w:t>aking authority to a state officer, department, agency, or institution.</w:t>
            </w:r>
          </w:p>
          <w:p w14:paraId="06021BF3" w14:textId="77777777" w:rsidR="008423E4" w:rsidRPr="00E21FDC" w:rsidRDefault="008423E4" w:rsidP="00692AD9">
            <w:pPr>
              <w:rPr>
                <w:b/>
              </w:rPr>
            </w:pPr>
          </w:p>
        </w:tc>
      </w:tr>
      <w:tr w:rsidR="009C08B9" w14:paraId="3BB94AEE" w14:textId="77777777" w:rsidTr="00345119">
        <w:tc>
          <w:tcPr>
            <w:tcW w:w="9576" w:type="dxa"/>
          </w:tcPr>
          <w:p w14:paraId="328C06C6" w14:textId="77777777" w:rsidR="008423E4" w:rsidRPr="00A8133F" w:rsidRDefault="002E4548" w:rsidP="00692AD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0ECBB56" w14:textId="77777777" w:rsidR="008423E4" w:rsidRDefault="008423E4" w:rsidP="00692AD9"/>
          <w:p w14:paraId="17FDC919" w14:textId="77777777" w:rsidR="002073F0" w:rsidRDefault="002E4548" w:rsidP="00692A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402E6">
              <w:t>H.B. 2033 amends the Utilities Code to</w:t>
            </w:r>
            <w:r>
              <w:t xml:space="preserve"> do the following with respect to the Texas Electricity Supply Chain Security and Mapping Committee:</w:t>
            </w:r>
            <w:r w:rsidR="009402E6">
              <w:t xml:space="preserve"> </w:t>
            </w:r>
          </w:p>
          <w:p w14:paraId="7A89E66D" w14:textId="5B281112" w:rsidR="002073F0" w:rsidRDefault="002E4548" w:rsidP="00692AD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classify </w:t>
            </w:r>
            <w:r w:rsidR="001A340E">
              <w:t xml:space="preserve">roads necessary to access facilities in the electricity supply chain </w:t>
            </w:r>
            <w:r>
              <w:t>as part of</w:t>
            </w:r>
            <w:r w:rsidR="001A340E">
              <w:t xml:space="preserve"> </w:t>
            </w:r>
            <w:r>
              <w:t xml:space="preserve">that </w:t>
            </w:r>
            <w:r w:rsidR="001A340E">
              <w:t>supply chain</w:t>
            </w:r>
            <w:r>
              <w:t>;</w:t>
            </w:r>
            <w:r w:rsidR="001A340E">
              <w:t xml:space="preserve"> </w:t>
            </w:r>
          </w:p>
          <w:p w14:paraId="468B6A98" w14:textId="12AB7F5A" w:rsidR="00F108CA" w:rsidRDefault="002E4548" w:rsidP="00692AD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establish that a reference in state law gover</w:t>
            </w:r>
            <w:r>
              <w:t>ning the committee to the "electricity supply chain" includes water and wastewater treatment plants;</w:t>
            </w:r>
          </w:p>
          <w:p w14:paraId="572732F1" w14:textId="62614F38" w:rsidR="002073F0" w:rsidRDefault="002E4548" w:rsidP="00692AD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include </w:t>
            </w:r>
            <w:r w:rsidR="009402E6">
              <w:t xml:space="preserve">the executive director of the Texas Department of Transportation (TxDOT) </w:t>
            </w:r>
            <w:r w:rsidR="00894C19">
              <w:t xml:space="preserve">as a member of </w:t>
            </w:r>
            <w:r w:rsidR="009402E6">
              <w:t xml:space="preserve">the </w:t>
            </w:r>
            <w:r>
              <w:t>c</w:t>
            </w:r>
            <w:r w:rsidR="009402E6">
              <w:t>ommittee</w:t>
            </w:r>
            <w:r>
              <w:t>;</w:t>
            </w:r>
            <w:r w:rsidR="00894C19">
              <w:t xml:space="preserve"> </w:t>
            </w:r>
          </w:p>
          <w:p w14:paraId="25E01891" w14:textId="4A2914B3" w:rsidR="002073F0" w:rsidRDefault="002E4548" w:rsidP="00692AD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include TxDOT </w:t>
            </w:r>
            <w:r w:rsidR="00894C19">
              <w:t xml:space="preserve">among </w:t>
            </w:r>
            <w:r>
              <w:t xml:space="preserve">the </w:t>
            </w:r>
            <w:r w:rsidR="00894C19">
              <w:t xml:space="preserve">agencies </w:t>
            </w:r>
            <w:r>
              <w:t>require</w:t>
            </w:r>
            <w:r w:rsidR="00894C19">
              <w:t>d</w:t>
            </w:r>
            <w:r>
              <w:t xml:space="preserve"> t</w:t>
            </w:r>
            <w:r>
              <w:t xml:space="preserve">o provide staff </w:t>
            </w:r>
            <w:r w:rsidR="00894C19">
              <w:t xml:space="preserve">as necessary </w:t>
            </w:r>
            <w:r>
              <w:t xml:space="preserve">to assist the committee in carrying out </w:t>
            </w:r>
            <w:r w:rsidR="00894C19">
              <w:t>its</w:t>
            </w:r>
            <w:r>
              <w:t xml:space="preserve"> duties and responsibilities;</w:t>
            </w:r>
            <w:r w:rsidR="00894C19">
              <w:t xml:space="preserve"> and</w:t>
            </w:r>
            <w:r>
              <w:t xml:space="preserve"> </w:t>
            </w:r>
          </w:p>
          <w:p w14:paraId="54DBB12D" w14:textId="0FF9E3FA" w:rsidR="009C36CD" w:rsidRPr="009C36CD" w:rsidRDefault="002E4548" w:rsidP="00692AD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 the committee to provide access to the electricity supply chain map to TxDOT staff whose duties include making repairs after disasters or eme</w:t>
            </w:r>
            <w:r>
              <w:t xml:space="preserve">rgencies. </w:t>
            </w:r>
          </w:p>
          <w:p w14:paraId="0B28EA83" w14:textId="77777777" w:rsidR="008423E4" w:rsidRPr="00835628" w:rsidRDefault="008423E4" w:rsidP="00692AD9">
            <w:pPr>
              <w:rPr>
                <w:b/>
              </w:rPr>
            </w:pPr>
          </w:p>
        </w:tc>
      </w:tr>
      <w:tr w:rsidR="009C08B9" w14:paraId="71B9B4E6" w14:textId="77777777" w:rsidTr="00345119">
        <w:tc>
          <w:tcPr>
            <w:tcW w:w="9576" w:type="dxa"/>
          </w:tcPr>
          <w:p w14:paraId="4E7C4DCC" w14:textId="77777777" w:rsidR="008423E4" w:rsidRPr="00A8133F" w:rsidRDefault="002E4548" w:rsidP="00692AD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1C173F0" w14:textId="77777777" w:rsidR="008423E4" w:rsidRDefault="008423E4" w:rsidP="00692AD9"/>
          <w:p w14:paraId="45897616" w14:textId="3AD9BC1F" w:rsidR="008423E4" w:rsidRPr="003624F2" w:rsidRDefault="002E4548" w:rsidP="00692A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583F0CD" w14:textId="77777777" w:rsidR="008423E4" w:rsidRPr="00233FDB" w:rsidRDefault="008423E4" w:rsidP="00692AD9">
            <w:pPr>
              <w:rPr>
                <w:b/>
              </w:rPr>
            </w:pPr>
          </w:p>
        </w:tc>
      </w:tr>
      <w:tr w:rsidR="009C08B9" w14:paraId="1DF9854E" w14:textId="77777777" w:rsidTr="00345119">
        <w:tc>
          <w:tcPr>
            <w:tcW w:w="9576" w:type="dxa"/>
          </w:tcPr>
          <w:p w14:paraId="0B6A2FED" w14:textId="77777777" w:rsidR="00AB7541" w:rsidRDefault="002E4548" w:rsidP="00692AD9">
            <w:pPr>
              <w:keepNext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55669FB" w14:textId="77777777" w:rsidR="00582913" w:rsidRDefault="00582913" w:rsidP="00692AD9">
            <w:pPr>
              <w:jc w:val="both"/>
            </w:pPr>
          </w:p>
          <w:p w14:paraId="589C1B34" w14:textId="6D1B183D" w:rsidR="00582913" w:rsidRDefault="002E4548" w:rsidP="00692AD9">
            <w:pPr>
              <w:jc w:val="both"/>
            </w:pPr>
            <w:r>
              <w:t xml:space="preserve">While C.S.H.B. 2033 may differ from the introduced in minor or nonsubstantive ways, the following summarizes the substantial differences between the </w:t>
            </w:r>
            <w:r>
              <w:t>introduced and committee substitute versions of the bill.</w:t>
            </w:r>
          </w:p>
          <w:p w14:paraId="437DBCBE" w14:textId="49BEA41B" w:rsidR="00582913" w:rsidRDefault="00582913" w:rsidP="00692AD9">
            <w:pPr>
              <w:jc w:val="both"/>
            </w:pPr>
          </w:p>
          <w:p w14:paraId="4F8C1AB1" w14:textId="539F8F0C" w:rsidR="00F108CA" w:rsidRDefault="002E4548" w:rsidP="00692AD9">
            <w:pPr>
              <w:jc w:val="both"/>
            </w:pPr>
            <w:r>
              <w:t xml:space="preserve">The substitute </w:t>
            </w:r>
            <w:r w:rsidR="0073231E">
              <w:t>includes provision</w:t>
            </w:r>
            <w:r>
              <w:t>s</w:t>
            </w:r>
            <w:r w:rsidR="0073231E">
              <w:t xml:space="preserve"> absent from the introduced that </w:t>
            </w:r>
            <w:r>
              <w:t>do the following:</w:t>
            </w:r>
          </w:p>
          <w:p w14:paraId="32782F39" w14:textId="09C23B8E" w:rsidR="00F108CA" w:rsidRDefault="002E4548" w:rsidP="00692AD9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classify the roads necessary to access facilities in the </w:t>
            </w:r>
            <w:r w:rsidR="0073231E">
              <w:t xml:space="preserve">electricity supply chain </w:t>
            </w:r>
            <w:r>
              <w:t xml:space="preserve">as part of that </w:t>
            </w:r>
            <w:r w:rsidR="0073231E">
              <w:t>supply chain</w:t>
            </w:r>
            <w:r>
              <w:t xml:space="preserve">; </w:t>
            </w:r>
            <w:r>
              <w:t>and</w:t>
            </w:r>
          </w:p>
          <w:p w14:paraId="31AA8CE8" w14:textId="2D181F87" w:rsidR="00582913" w:rsidRDefault="002E4548" w:rsidP="00692AD9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establish that a reference in state law governing the committee to the "electricity supply chain" includes water and wastewater treatment plants.</w:t>
            </w:r>
          </w:p>
          <w:p w14:paraId="16BE4F6B" w14:textId="77CC7261" w:rsidR="00582913" w:rsidRPr="00582913" w:rsidRDefault="00582913" w:rsidP="00692AD9">
            <w:pPr>
              <w:jc w:val="both"/>
            </w:pPr>
          </w:p>
        </w:tc>
      </w:tr>
      <w:tr w:rsidR="009C08B9" w14:paraId="03BCBBC1" w14:textId="77777777" w:rsidTr="00345119">
        <w:tc>
          <w:tcPr>
            <w:tcW w:w="9576" w:type="dxa"/>
          </w:tcPr>
          <w:p w14:paraId="0CDFE0B8" w14:textId="77777777" w:rsidR="00AB7541" w:rsidRPr="009C1E9A" w:rsidRDefault="00AB7541" w:rsidP="00692AD9">
            <w:pPr>
              <w:rPr>
                <w:b/>
                <w:u w:val="single"/>
              </w:rPr>
            </w:pPr>
          </w:p>
        </w:tc>
      </w:tr>
      <w:tr w:rsidR="009C08B9" w14:paraId="67A42544" w14:textId="77777777" w:rsidTr="00345119">
        <w:tc>
          <w:tcPr>
            <w:tcW w:w="9576" w:type="dxa"/>
          </w:tcPr>
          <w:p w14:paraId="6F95F9FC" w14:textId="77777777" w:rsidR="00AB7541" w:rsidRPr="00AB7541" w:rsidRDefault="00AB7541" w:rsidP="00692AD9">
            <w:pPr>
              <w:jc w:val="both"/>
            </w:pPr>
          </w:p>
        </w:tc>
      </w:tr>
    </w:tbl>
    <w:p w14:paraId="7C5DBFE1" w14:textId="77777777" w:rsidR="008423E4" w:rsidRPr="00BE0E75" w:rsidRDefault="008423E4" w:rsidP="00692AD9">
      <w:pPr>
        <w:jc w:val="both"/>
        <w:rPr>
          <w:rFonts w:ascii="Arial" w:hAnsi="Arial"/>
          <w:sz w:val="16"/>
          <w:szCs w:val="16"/>
        </w:rPr>
      </w:pPr>
    </w:p>
    <w:p w14:paraId="33972355" w14:textId="77777777" w:rsidR="004108C3" w:rsidRPr="008423E4" w:rsidRDefault="004108C3" w:rsidP="00692AD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ED6C" w14:textId="77777777" w:rsidR="00000000" w:rsidRDefault="002E4548">
      <w:r>
        <w:separator/>
      </w:r>
    </w:p>
  </w:endnote>
  <w:endnote w:type="continuationSeparator" w:id="0">
    <w:p w14:paraId="4775A369" w14:textId="77777777" w:rsidR="00000000" w:rsidRDefault="002E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96F2" w14:textId="77777777" w:rsidR="002F7296" w:rsidRDefault="002F7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C08B9" w14:paraId="1A908E84" w14:textId="77777777" w:rsidTr="009C1E9A">
      <w:trPr>
        <w:cantSplit/>
      </w:trPr>
      <w:tc>
        <w:tcPr>
          <w:tcW w:w="0" w:type="pct"/>
        </w:tcPr>
        <w:p w14:paraId="2488A5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3A62D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EE090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9DE0D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6C1F99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C08B9" w14:paraId="0B75776F" w14:textId="77777777" w:rsidTr="009C1E9A">
      <w:trPr>
        <w:cantSplit/>
      </w:trPr>
      <w:tc>
        <w:tcPr>
          <w:tcW w:w="0" w:type="pct"/>
        </w:tcPr>
        <w:p w14:paraId="36B8191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A6AD71" w14:textId="3171612A" w:rsidR="00EC379B" w:rsidRPr="009C1E9A" w:rsidRDefault="002E454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20679-D</w:t>
          </w:r>
        </w:p>
      </w:tc>
      <w:tc>
        <w:tcPr>
          <w:tcW w:w="2453" w:type="pct"/>
        </w:tcPr>
        <w:p w14:paraId="4858A317" w14:textId="6DAB43C9" w:rsidR="00EC379B" w:rsidRDefault="002E454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65CFF">
            <w:t>23.87.1039</w:t>
          </w:r>
          <w:r>
            <w:fldChar w:fldCharType="end"/>
          </w:r>
        </w:p>
      </w:tc>
    </w:tr>
    <w:tr w:rsidR="009C08B9" w14:paraId="3CC419FC" w14:textId="77777777" w:rsidTr="009C1E9A">
      <w:trPr>
        <w:cantSplit/>
      </w:trPr>
      <w:tc>
        <w:tcPr>
          <w:tcW w:w="0" w:type="pct"/>
        </w:tcPr>
        <w:p w14:paraId="34739B2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213884C" w14:textId="2CC5825D" w:rsidR="00EC379B" w:rsidRPr="009C1E9A" w:rsidRDefault="002E454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18793</w:t>
          </w:r>
        </w:p>
      </w:tc>
      <w:tc>
        <w:tcPr>
          <w:tcW w:w="2453" w:type="pct"/>
        </w:tcPr>
        <w:p w14:paraId="5260ABB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1A9739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C08B9" w14:paraId="030D889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A259FE1" w14:textId="77777777" w:rsidR="00EC379B" w:rsidRDefault="002E454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073519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93EAD7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388B" w14:textId="77777777" w:rsidR="002F7296" w:rsidRDefault="002F7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03D5" w14:textId="77777777" w:rsidR="00000000" w:rsidRDefault="002E4548">
      <w:r>
        <w:separator/>
      </w:r>
    </w:p>
  </w:footnote>
  <w:footnote w:type="continuationSeparator" w:id="0">
    <w:p w14:paraId="7AA4DA76" w14:textId="77777777" w:rsidR="00000000" w:rsidRDefault="002E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51B3" w14:textId="77777777" w:rsidR="002F7296" w:rsidRDefault="002F7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4C60" w14:textId="77777777" w:rsidR="002F7296" w:rsidRDefault="002F72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F1E2" w14:textId="77777777" w:rsidR="002F7296" w:rsidRDefault="002F7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C5A9C"/>
    <w:multiLevelType w:val="hybridMultilevel"/>
    <w:tmpl w:val="9B14B43C"/>
    <w:lvl w:ilvl="0" w:tplc="67361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449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0A5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CC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82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EA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02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0A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5E7F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4629D"/>
    <w:multiLevelType w:val="hybridMultilevel"/>
    <w:tmpl w:val="C33A0C6E"/>
    <w:lvl w:ilvl="0" w:tplc="B944F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0D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0A4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A5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81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803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29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44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B66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E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449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3A6F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0BC"/>
    <w:rsid w:val="001A0739"/>
    <w:rsid w:val="001A0F00"/>
    <w:rsid w:val="001A2BDD"/>
    <w:rsid w:val="001A340E"/>
    <w:rsid w:val="001A3DDF"/>
    <w:rsid w:val="001A4310"/>
    <w:rsid w:val="001B053A"/>
    <w:rsid w:val="001B26D8"/>
    <w:rsid w:val="001B3BFA"/>
    <w:rsid w:val="001B62F9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3F0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1F43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4548"/>
    <w:rsid w:val="002E7DF9"/>
    <w:rsid w:val="002F097B"/>
    <w:rsid w:val="002F2147"/>
    <w:rsid w:val="002F3111"/>
    <w:rsid w:val="002F4AEC"/>
    <w:rsid w:val="002F7296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60C"/>
    <w:rsid w:val="00415139"/>
    <w:rsid w:val="004166BB"/>
    <w:rsid w:val="004174CD"/>
    <w:rsid w:val="00422039"/>
    <w:rsid w:val="00423FBC"/>
    <w:rsid w:val="004241AA"/>
    <w:rsid w:val="0042422E"/>
    <w:rsid w:val="004251ED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913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B0C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AD9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31E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0F3F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BB3"/>
    <w:rsid w:val="00890B59"/>
    <w:rsid w:val="008930D7"/>
    <w:rsid w:val="008947A7"/>
    <w:rsid w:val="00894C19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4E89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2E6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1C33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08B9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151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262F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A0A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541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316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6E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6D73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0ED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3ECC"/>
    <w:rsid w:val="00D22160"/>
    <w:rsid w:val="00D22172"/>
    <w:rsid w:val="00D2301B"/>
    <w:rsid w:val="00D239EE"/>
    <w:rsid w:val="00D30534"/>
    <w:rsid w:val="00D33D75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486"/>
    <w:rsid w:val="00D91B92"/>
    <w:rsid w:val="00D926B3"/>
    <w:rsid w:val="00D92F63"/>
    <w:rsid w:val="00D947B6"/>
    <w:rsid w:val="00D94A53"/>
    <w:rsid w:val="00D97E00"/>
    <w:rsid w:val="00DA00BC"/>
    <w:rsid w:val="00DA0A3B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3C7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039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598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5CFF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8CA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9B9E67-1645-49B3-BDD8-BEBD0151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402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0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02E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0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02E6"/>
    <w:rPr>
      <w:b/>
      <w:bCs/>
    </w:rPr>
  </w:style>
  <w:style w:type="paragraph" w:styleId="Revision">
    <w:name w:val="Revision"/>
    <w:hidden/>
    <w:uiPriority w:val="99"/>
    <w:semiHidden/>
    <w:rsid w:val="00DA0A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108CA"/>
    <w:pPr>
      <w:ind w:left="720"/>
      <w:contextualSpacing/>
    </w:pPr>
  </w:style>
  <w:style w:type="character" w:styleId="Hyperlink">
    <w:name w:val="Hyperlink"/>
    <w:basedOn w:val="DefaultParagraphFont"/>
    <w:unhideWhenUsed/>
    <w:rsid w:val="00251F4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1F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51F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2336</Characters>
  <Application>Microsoft Office Word</Application>
  <DocSecurity>4</DocSecurity>
  <Lines>67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HB02033 (Committee Report (Substituted))</vt:lpstr>
    </vt:vector>
  </TitlesOfParts>
  <Company>State of Texas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20679</dc:subject>
  <dc:creator>State of Texas</dc:creator>
  <dc:description>HB 2033 by Guillen-(H)State Affairs (Substitute Document Number: 88R 18793)</dc:description>
  <cp:lastModifiedBy>Matthew Lee</cp:lastModifiedBy>
  <cp:revision>2</cp:revision>
  <cp:lastPrinted>2003-11-26T17:21:00Z</cp:lastPrinted>
  <dcterms:created xsi:type="dcterms:W3CDTF">2023-04-25T15:51:00Z</dcterms:created>
  <dcterms:modified xsi:type="dcterms:W3CDTF">2023-04-25T15:51:00Z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23.87.1039</vt:lpwstr>
  </property>
</Properties>
</file>