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D58CF" w14:paraId="50DC9598" w14:textId="77777777" w:rsidTr="00345119">
        <w:tc>
          <w:tcPr>
            <w:tcW w:w="9576" w:type="dxa"/>
            <w:noWrap/>
          </w:tcPr>
          <w:p w14:paraId="6D82E01C" w14:textId="77777777" w:rsidR="008423E4" w:rsidRPr="0022177D" w:rsidRDefault="008E55FD" w:rsidP="000F3139">
            <w:pPr>
              <w:pStyle w:val="Heading1"/>
            </w:pPr>
            <w:r w:rsidRPr="00631897">
              <w:t>BILL ANALYSIS</w:t>
            </w:r>
          </w:p>
        </w:tc>
      </w:tr>
    </w:tbl>
    <w:p w14:paraId="3963D923" w14:textId="77777777" w:rsidR="008423E4" w:rsidRPr="0022177D" w:rsidRDefault="008423E4" w:rsidP="000F3139">
      <w:pPr>
        <w:jc w:val="center"/>
      </w:pPr>
    </w:p>
    <w:p w14:paraId="468DE34A" w14:textId="77777777" w:rsidR="008423E4" w:rsidRPr="00B31F0E" w:rsidRDefault="008423E4" w:rsidP="000F3139"/>
    <w:p w14:paraId="4C5563FA" w14:textId="77777777" w:rsidR="008423E4" w:rsidRPr="00742794" w:rsidRDefault="008423E4" w:rsidP="000F31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58CF" w14:paraId="48BCE398" w14:textId="77777777" w:rsidTr="00345119">
        <w:tc>
          <w:tcPr>
            <w:tcW w:w="9576" w:type="dxa"/>
          </w:tcPr>
          <w:p w14:paraId="02E93C59" w14:textId="31329F42" w:rsidR="008423E4" w:rsidRPr="00861995" w:rsidRDefault="008E55FD" w:rsidP="000F3139">
            <w:pPr>
              <w:jc w:val="right"/>
            </w:pPr>
            <w:r>
              <w:t>C.S.H.B. 2058</w:t>
            </w:r>
          </w:p>
        </w:tc>
      </w:tr>
      <w:tr w:rsidR="002D58CF" w14:paraId="2EFF724A" w14:textId="77777777" w:rsidTr="00345119">
        <w:tc>
          <w:tcPr>
            <w:tcW w:w="9576" w:type="dxa"/>
          </w:tcPr>
          <w:p w14:paraId="11742015" w14:textId="3A1A34ED" w:rsidR="008423E4" w:rsidRPr="00861995" w:rsidRDefault="008E55FD" w:rsidP="000F3139">
            <w:pPr>
              <w:jc w:val="right"/>
            </w:pPr>
            <w:r>
              <w:t xml:space="preserve">By: </w:t>
            </w:r>
            <w:r w:rsidR="007D2664">
              <w:t>Gamez</w:t>
            </w:r>
          </w:p>
        </w:tc>
      </w:tr>
      <w:tr w:rsidR="002D58CF" w14:paraId="07F0EE07" w14:textId="77777777" w:rsidTr="00345119">
        <w:tc>
          <w:tcPr>
            <w:tcW w:w="9576" w:type="dxa"/>
          </w:tcPr>
          <w:p w14:paraId="18D03E40" w14:textId="527239A6" w:rsidR="008423E4" w:rsidRPr="00861995" w:rsidRDefault="008E55FD" w:rsidP="000F3139">
            <w:pPr>
              <w:jc w:val="right"/>
            </w:pPr>
            <w:r>
              <w:t>International Relations &amp; Economic Development</w:t>
            </w:r>
          </w:p>
        </w:tc>
      </w:tr>
      <w:tr w:rsidR="002D58CF" w14:paraId="26537C2A" w14:textId="77777777" w:rsidTr="00345119">
        <w:tc>
          <w:tcPr>
            <w:tcW w:w="9576" w:type="dxa"/>
          </w:tcPr>
          <w:p w14:paraId="40E82EAD" w14:textId="2852B1E3" w:rsidR="008423E4" w:rsidRDefault="008E55FD" w:rsidP="000F3139">
            <w:pPr>
              <w:jc w:val="right"/>
            </w:pPr>
            <w:r>
              <w:t>Committee Report (Substituted)</w:t>
            </w:r>
          </w:p>
        </w:tc>
      </w:tr>
    </w:tbl>
    <w:p w14:paraId="6BCF1E83" w14:textId="77777777" w:rsidR="008423E4" w:rsidRDefault="008423E4" w:rsidP="000F3139">
      <w:pPr>
        <w:tabs>
          <w:tab w:val="right" w:pos="9360"/>
        </w:tabs>
      </w:pPr>
    </w:p>
    <w:p w14:paraId="03D27DD5" w14:textId="77777777" w:rsidR="008423E4" w:rsidRDefault="008423E4" w:rsidP="000F3139"/>
    <w:p w14:paraId="3D31F9C5" w14:textId="77777777" w:rsidR="008423E4" w:rsidRDefault="008423E4" w:rsidP="000F31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D58CF" w14:paraId="0932EC6B" w14:textId="77777777" w:rsidTr="00345119">
        <w:tc>
          <w:tcPr>
            <w:tcW w:w="9576" w:type="dxa"/>
          </w:tcPr>
          <w:p w14:paraId="4147C68B" w14:textId="77777777" w:rsidR="008423E4" w:rsidRPr="00A8133F" w:rsidRDefault="008E55FD" w:rsidP="000F31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98A360" w14:textId="77777777" w:rsidR="008423E4" w:rsidRDefault="008423E4" w:rsidP="000F3139"/>
          <w:p w14:paraId="6FC094C1" w14:textId="48106BD4" w:rsidR="008423E4" w:rsidRDefault="008E55FD" w:rsidP="000F3139">
            <w:pPr>
              <w:jc w:val="both"/>
            </w:pPr>
            <w:r>
              <w:t>In the last several years, t</w:t>
            </w:r>
            <w:r w:rsidRPr="00A232F6">
              <w:t xml:space="preserve">he Rio Grande Valley has attracted </w:t>
            </w:r>
            <w:r>
              <w:t>many</w:t>
            </w:r>
            <w:r w:rsidRPr="00A232F6">
              <w:t xml:space="preserve"> businesses</w:t>
            </w:r>
            <w:r w:rsidR="00D96621">
              <w:t>.</w:t>
            </w:r>
            <w:r w:rsidRPr="00A232F6">
              <w:t xml:space="preserve"> </w:t>
            </w:r>
            <w:r w:rsidR="00D96621">
              <w:t>H</w:t>
            </w:r>
            <w:r>
              <w:t>owever,</w:t>
            </w:r>
            <w:r w:rsidRPr="00A232F6">
              <w:t xml:space="preserve"> these companies have turned to outsourcing laborers due to the lack of trained individuals in the region. While Cameron County has</w:t>
            </w:r>
            <w:r w:rsidR="00810928">
              <w:t xml:space="preserve"> grown</w:t>
            </w:r>
            <w:r w:rsidR="00D730D7">
              <w:t xml:space="preserve"> and is continuing to</w:t>
            </w:r>
            <w:r w:rsidRPr="00A232F6">
              <w:t xml:space="preserve"> grow</w:t>
            </w:r>
            <w:r w:rsidR="00D730D7">
              <w:t>,</w:t>
            </w:r>
            <w:r w:rsidRPr="00A232F6">
              <w:t xml:space="preserve"> </w:t>
            </w:r>
            <w:r w:rsidR="00D730D7">
              <w:t>ther</w:t>
            </w:r>
            <w:r w:rsidRPr="00A232F6">
              <w:t>e</w:t>
            </w:r>
            <w:r w:rsidR="00D730D7">
              <w:t xml:space="preserve"> is a</w:t>
            </w:r>
            <w:r w:rsidRPr="00A232F6">
              <w:t xml:space="preserve"> skilled labor</w:t>
            </w:r>
            <w:r w:rsidR="00D730D7">
              <w:t xml:space="preserve"> gap</w:t>
            </w:r>
            <w:r w:rsidRPr="00A232F6">
              <w:t xml:space="preserve"> </w:t>
            </w:r>
            <w:r w:rsidR="00D730D7">
              <w:t>in</w:t>
            </w:r>
            <w:r w:rsidRPr="00A232F6">
              <w:t xml:space="preserve"> the local job market that could be closed with more attenti</w:t>
            </w:r>
            <w:r w:rsidRPr="00A232F6">
              <w:t>on. There</w:t>
            </w:r>
            <w:r w:rsidR="00D730D7">
              <w:t xml:space="preserve"> are calls to give</w:t>
            </w:r>
            <w:r w:rsidRPr="00A232F6">
              <w:t xml:space="preserve"> the Cameron County Workforce Development Board authority to establish a skilled labor task force to address th</w:t>
            </w:r>
            <w:r w:rsidR="00D730D7">
              <w:t>e</w:t>
            </w:r>
            <w:r w:rsidRPr="00A232F6">
              <w:t xml:space="preserve"> gap.</w:t>
            </w:r>
            <w:r>
              <w:t xml:space="preserve"> </w:t>
            </w:r>
            <w:r w:rsidR="00D730D7">
              <w:t>C.S.H.B.</w:t>
            </w:r>
            <w:r w:rsidR="00F65967">
              <w:t> </w:t>
            </w:r>
            <w:r w:rsidR="00D730D7">
              <w:t>2058 requir</w:t>
            </w:r>
            <w:r w:rsidR="00D96621">
              <w:t>es</w:t>
            </w:r>
            <w:r w:rsidR="00D730D7">
              <w:t xml:space="preserve"> </w:t>
            </w:r>
            <w:r w:rsidR="00BA3A24">
              <w:t>t</w:t>
            </w:r>
            <w:r w:rsidRPr="00A232F6">
              <w:t xml:space="preserve">he </w:t>
            </w:r>
            <w:r w:rsidR="00810928">
              <w:t>b</w:t>
            </w:r>
            <w:r w:rsidRPr="00A232F6">
              <w:t xml:space="preserve">oard </w:t>
            </w:r>
            <w:r w:rsidR="00BA3A24">
              <w:t xml:space="preserve">to establish a </w:t>
            </w:r>
            <w:r w:rsidRPr="00A232F6">
              <w:t>17</w:t>
            </w:r>
            <w:r w:rsidR="00810928">
              <w:t>-</w:t>
            </w:r>
            <w:r w:rsidRPr="00A232F6">
              <w:t>member skilled labor task force</w:t>
            </w:r>
            <w:r w:rsidR="00810928">
              <w:t xml:space="preserve"> with a goal of </w:t>
            </w:r>
            <w:r w:rsidRPr="00A232F6">
              <w:t>connect</w:t>
            </w:r>
            <w:r w:rsidR="00810928">
              <w:t>ing</w:t>
            </w:r>
            <w:r w:rsidRPr="00A232F6">
              <w:t xml:space="preserve"> lo</w:t>
            </w:r>
            <w:r w:rsidRPr="00A232F6">
              <w:t xml:space="preserve">cal business leaders, local government officials, education providers, and members of the public to study and develop recommendations for the legislature and </w:t>
            </w:r>
            <w:r w:rsidR="00810928">
              <w:t>the</w:t>
            </w:r>
            <w:r w:rsidR="00BA3A24">
              <w:t xml:space="preserve"> </w:t>
            </w:r>
            <w:r w:rsidR="00810928">
              <w:t>b</w:t>
            </w:r>
            <w:r w:rsidR="00810928" w:rsidRPr="00A232F6">
              <w:t xml:space="preserve">oard </w:t>
            </w:r>
            <w:r w:rsidRPr="00A232F6">
              <w:t xml:space="preserve">regarding strategies for improving the delivery of workforce education and workforce training and services in the </w:t>
            </w:r>
            <w:r w:rsidR="00930CAC">
              <w:t>b</w:t>
            </w:r>
            <w:r w:rsidR="00930CAC" w:rsidRPr="00A232F6">
              <w:t>oard</w:t>
            </w:r>
            <w:r w:rsidR="00930CAC">
              <w:t>'</w:t>
            </w:r>
            <w:r w:rsidR="00930CAC" w:rsidRPr="00A232F6">
              <w:t xml:space="preserve">s </w:t>
            </w:r>
            <w:r w:rsidRPr="00A232F6">
              <w:t xml:space="preserve">local workforce development area. </w:t>
            </w:r>
          </w:p>
          <w:p w14:paraId="4A17AC1F" w14:textId="77777777" w:rsidR="008423E4" w:rsidRPr="00E26B13" w:rsidRDefault="008423E4" w:rsidP="000F3139">
            <w:pPr>
              <w:rPr>
                <w:b/>
              </w:rPr>
            </w:pPr>
          </w:p>
        </w:tc>
      </w:tr>
      <w:tr w:rsidR="002D58CF" w14:paraId="2B0F8690" w14:textId="77777777" w:rsidTr="00345119">
        <w:tc>
          <w:tcPr>
            <w:tcW w:w="9576" w:type="dxa"/>
          </w:tcPr>
          <w:p w14:paraId="01A47F78" w14:textId="77777777" w:rsidR="0017725B" w:rsidRDefault="008E55FD" w:rsidP="000F31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BAD3B8" w14:textId="77777777" w:rsidR="0017725B" w:rsidRDefault="0017725B" w:rsidP="000F3139">
            <w:pPr>
              <w:rPr>
                <w:b/>
                <w:u w:val="single"/>
              </w:rPr>
            </w:pPr>
          </w:p>
          <w:p w14:paraId="1B0ACFFF" w14:textId="08DA3BE9" w:rsidR="007B5830" w:rsidRPr="007B5830" w:rsidRDefault="008E55FD" w:rsidP="000F3139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7315EC1A" w14:textId="77777777" w:rsidR="0017725B" w:rsidRPr="0017725B" w:rsidRDefault="0017725B" w:rsidP="000F3139">
            <w:pPr>
              <w:rPr>
                <w:b/>
                <w:u w:val="single"/>
              </w:rPr>
            </w:pPr>
          </w:p>
        </w:tc>
      </w:tr>
      <w:tr w:rsidR="002D58CF" w14:paraId="79E8FB89" w14:textId="77777777" w:rsidTr="00345119">
        <w:tc>
          <w:tcPr>
            <w:tcW w:w="9576" w:type="dxa"/>
          </w:tcPr>
          <w:p w14:paraId="0DAA1C28" w14:textId="77777777" w:rsidR="008423E4" w:rsidRPr="00A8133F" w:rsidRDefault="008E55FD" w:rsidP="000F31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06D5D7" w14:textId="77777777" w:rsidR="008423E4" w:rsidRDefault="008423E4" w:rsidP="000F3139"/>
          <w:p w14:paraId="0A81855F" w14:textId="25E656DE" w:rsidR="007B5830" w:rsidRDefault="008E55FD" w:rsidP="000F31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</w:t>
            </w:r>
            <w:r>
              <w:t>hat this bill does not expressly grant any additional rulemaking authority to a state officer, department, agency, or institution.</w:t>
            </w:r>
          </w:p>
          <w:p w14:paraId="08A3405E" w14:textId="77777777" w:rsidR="008423E4" w:rsidRPr="00E21FDC" w:rsidRDefault="008423E4" w:rsidP="000F3139">
            <w:pPr>
              <w:rPr>
                <w:b/>
              </w:rPr>
            </w:pPr>
          </w:p>
        </w:tc>
      </w:tr>
      <w:tr w:rsidR="002D58CF" w14:paraId="51B425E3" w14:textId="77777777" w:rsidTr="00345119">
        <w:tc>
          <w:tcPr>
            <w:tcW w:w="9576" w:type="dxa"/>
          </w:tcPr>
          <w:p w14:paraId="7A06A91B" w14:textId="77777777" w:rsidR="008423E4" w:rsidRPr="00A8133F" w:rsidRDefault="008E55FD" w:rsidP="000F31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C927834" w14:textId="77777777" w:rsidR="008423E4" w:rsidRDefault="008423E4" w:rsidP="000F3139"/>
          <w:p w14:paraId="7719D631" w14:textId="56F3F29C" w:rsidR="00345B8D" w:rsidRDefault="008E55FD" w:rsidP="000F31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A3833">
              <w:t xml:space="preserve">H.B. 2058 amends the Government Code to require </w:t>
            </w:r>
            <w:r>
              <w:t xml:space="preserve">a </w:t>
            </w:r>
            <w:r w:rsidR="00CA3833">
              <w:t>local workforce development board</w:t>
            </w:r>
            <w:r w:rsidR="007A6243">
              <w:t xml:space="preserve"> </w:t>
            </w:r>
            <w:r>
              <w:t xml:space="preserve">established </w:t>
            </w:r>
            <w:r w:rsidR="007A6243">
              <w:t>in</w:t>
            </w:r>
            <w:r>
              <w:t xml:space="preserve"> a</w:t>
            </w:r>
            <w:r w:rsidR="007A6243">
              <w:t xml:space="preserve"> count</w:t>
            </w:r>
            <w:r>
              <w:t>y</w:t>
            </w:r>
            <w:r w:rsidR="007A6243">
              <w:t xml:space="preserve"> with a population of 400,000 or more that borders the Gulf of Mexico to establish a skilled labor task force</w:t>
            </w:r>
            <w:r>
              <w:t xml:space="preserve"> </w:t>
            </w:r>
            <w:r w:rsidRPr="00345B8D">
              <w:t xml:space="preserve">consisting of </w:t>
            </w:r>
            <w:r>
              <w:t>17</w:t>
            </w:r>
            <w:r w:rsidRPr="00345B8D">
              <w:t xml:space="preserve"> members from the board's local workforce development area</w:t>
            </w:r>
            <w:r w:rsidR="00DF2214">
              <w:t xml:space="preserve">. </w:t>
            </w:r>
            <w:r>
              <w:t>The bill sets out the composition of the task force appointed b</w:t>
            </w:r>
            <w:r>
              <w:t>y the board as follows:</w:t>
            </w:r>
          </w:p>
          <w:p w14:paraId="7650A485" w14:textId="4B452C93" w:rsidR="00345B8D" w:rsidRDefault="008E55FD" w:rsidP="000F31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45B8D">
              <w:t>three members who are local government officials;</w:t>
            </w:r>
          </w:p>
          <w:p w14:paraId="37CBD573" w14:textId="3E723C66" w:rsidR="00345B8D" w:rsidRDefault="008E55FD" w:rsidP="000F31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45B8D">
              <w:t>three members representing public postsecondary education and vocational education;</w:t>
            </w:r>
          </w:p>
          <w:p w14:paraId="3F83E800" w14:textId="227A81BF" w:rsidR="007D2664" w:rsidRDefault="008E55FD" w:rsidP="000F31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one member representing a public school district;</w:t>
            </w:r>
          </w:p>
          <w:p w14:paraId="50D03196" w14:textId="06942C64" w:rsidR="007D2664" w:rsidRDefault="008E55FD" w:rsidP="000F31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one member representing the district </w:t>
            </w:r>
            <w:r>
              <w:t>attorney's office;</w:t>
            </w:r>
          </w:p>
          <w:p w14:paraId="4E014997" w14:textId="3222880D" w:rsidR="00345B8D" w:rsidRDefault="008E55FD" w:rsidP="000F31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45B8D">
              <w:t>five members who are local business leaders with expertise regarding the local labor market;</w:t>
            </w:r>
          </w:p>
          <w:p w14:paraId="71CA1F21" w14:textId="682E5123" w:rsidR="00345B8D" w:rsidRDefault="008E55FD" w:rsidP="000F31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45B8D">
              <w:t>two members representing the public; and</w:t>
            </w:r>
          </w:p>
          <w:p w14:paraId="53EB9E0E" w14:textId="00617B17" w:rsidR="00345B8D" w:rsidRDefault="008E55FD" w:rsidP="000F31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BE4C68">
              <w:t>two ex officio nonvoting members who are members of the legislature</w:t>
            </w:r>
            <w:r>
              <w:t xml:space="preserve">, </w:t>
            </w:r>
            <w:r w:rsidR="00666036">
              <w:t xml:space="preserve">with </w:t>
            </w:r>
            <w:r w:rsidRPr="00BE4C68">
              <w:t xml:space="preserve">one </w:t>
            </w:r>
            <w:r w:rsidR="00666036">
              <w:t xml:space="preserve">each </w:t>
            </w:r>
            <w:r w:rsidRPr="00BE4C68">
              <w:t>appointed by the lie</w:t>
            </w:r>
            <w:r w:rsidRPr="00BE4C68">
              <w:t>utenant governor</w:t>
            </w:r>
            <w:r w:rsidR="00666036">
              <w:t xml:space="preserve"> </w:t>
            </w:r>
            <w:r w:rsidRPr="00BE4C68">
              <w:t>and</w:t>
            </w:r>
            <w:r>
              <w:t xml:space="preserve"> </w:t>
            </w:r>
            <w:r w:rsidRPr="00BE4C68">
              <w:t>the speaker of the house of representatives.</w:t>
            </w:r>
          </w:p>
          <w:p w14:paraId="6B37D8DF" w14:textId="214CB2A6" w:rsidR="00BE4C68" w:rsidRDefault="008E55FD" w:rsidP="000F31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the board to appoint a member of the task force to serve as the task force's presiding officer</w:t>
            </w:r>
            <w:r w:rsidR="00422B92">
              <w:t xml:space="preserve">, </w:t>
            </w:r>
            <w:r>
              <w:t xml:space="preserve">prohibits a </w:t>
            </w:r>
            <w:r w:rsidR="00422B92">
              <w:t>person</w:t>
            </w:r>
            <w:r>
              <w:t xml:space="preserve"> from serving on the board and the task force concurrently</w:t>
            </w:r>
            <w:r w:rsidR="00422B92">
              <w:t>, and</w:t>
            </w:r>
            <w:r>
              <w:t xml:space="preserve"> establishes that a</w:t>
            </w:r>
            <w:r w:rsidRPr="0074043B">
              <w:t xml:space="preserve"> skilled labor task force member is not entitled to compensation or reimbursement for expenses.</w:t>
            </w:r>
          </w:p>
          <w:p w14:paraId="6F44AF3F" w14:textId="77777777" w:rsidR="00BE4C68" w:rsidRDefault="00BE4C68" w:rsidP="000F31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B240B3C" w14:textId="77777777" w:rsidR="007D2664" w:rsidRDefault="008E55FD" w:rsidP="000F31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E4C68">
              <w:t>H.B. 2058</w:t>
            </w:r>
            <w:r w:rsidR="00DF2214">
              <w:t xml:space="preserve"> requires the task force to study and develop recommendations for the legislature and board </w:t>
            </w:r>
            <w:r w:rsidR="00DF2214" w:rsidRPr="00DF2214">
              <w:t>regarding strategies for</w:t>
            </w:r>
            <w:r>
              <w:t>:</w:t>
            </w:r>
          </w:p>
          <w:p w14:paraId="07A9BCA7" w14:textId="48A1FE86" w:rsidR="007D2664" w:rsidRDefault="008E55FD" w:rsidP="000F313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DF2214">
              <w:t>impr</w:t>
            </w:r>
            <w:r w:rsidRPr="00DF2214">
              <w:t>oving the delivery of workforce education and workforce training and services in the board's local workforce development area</w:t>
            </w:r>
            <w:r>
              <w:t>;</w:t>
            </w:r>
            <w:r w:rsidRPr="00DF2214">
              <w:t xml:space="preserve"> </w:t>
            </w:r>
          </w:p>
          <w:p w14:paraId="7277334A" w14:textId="09AE3A4B" w:rsidR="007D2664" w:rsidRDefault="008E55FD" w:rsidP="000F313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DF2214">
              <w:t>addressing current and future skills gaps in the area</w:t>
            </w:r>
            <w:r>
              <w:t>;</w:t>
            </w:r>
          </w:p>
          <w:p w14:paraId="7D1A272B" w14:textId="6EAED076" w:rsidR="007D2664" w:rsidRDefault="008E55FD" w:rsidP="000F313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assisting at-risk teenagers and young adults in preparing for career empl</w:t>
            </w:r>
            <w:r>
              <w:t>oyment; and</w:t>
            </w:r>
          </w:p>
          <w:p w14:paraId="26A20E16" w14:textId="7BFEFA07" w:rsidR="007D2664" w:rsidRDefault="008E55FD" w:rsidP="000F313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DF2214">
              <w:t>ensuring the area has a sufficiently trained workforce to meet local industry needs.</w:t>
            </w:r>
            <w:r w:rsidR="002E61A0">
              <w:t xml:space="preserve"> </w:t>
            </w:r>
          </w:p>
          <w:p w14:paraId="131EA524" w14:textId="43802897" w:rsidR="00DF2214" w:rsidRDefault="008E55FD" w:rsidP="000F31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</w:t>
            </w:r>
            <w:r w:rsidR="00766A8A">
              <w:t xml:space="preserve">the </w:t>
            </w:r>
            <w:r>
              <w:t xml:space="preserve">board to provide </w:t>
            </w:r>
            <w:r w:rsidRPr="002E61A0">
              <w:t>administrative support to the task force as necessary to assist the task force in conducting meetings and preparing rep</w:t>
            </w:r>
            <w:r w:rsidRPr="002E61A0">
              <w:t>orts</w:t>
            </w:r>
            <w:r>
              <w:t>. The bill requires a task force to meet not later than the 30th day after the date the last initial appointment to the task force is made</w:t>
            </w:r>
            <w:r w:rsidR="00133DEB">
              <w:t xml:space="preserve"> and to meet at least quarterly at the call of the presiding officer</w:t>
            </w:r>
            <w:r w:rsidR="004004E2">
              <w:t xml:space="preserve">. The bill authorizes the task force to communicate regularly with the board to provide information and make recommendations outside the task force's required report. </w:t>
            </w:r>
            <w:r w:rsidR="0074043B">
              <w:t>The bill requires the task force</w:t>
            </w:r>
            <w:r w:rsidR="00666036">
              <w:t>, not later than December 1 of each even-numbered year,</w:t>
            </w:r>
            <w:r w:rsidR="0074043B">
              <w:t xml:space="preserve"> to </w:t>
            </w:r>
            <w:r w:rsidR="0074043B" w:rsidRPr="0074043B">
              <w:t>submit to the governor, the lieutenant governor, the speaker of the house of representatives, and the board a written report of the task force's findings and recommendations for legislative or board action</w:t>
            </w:r>
            <w:r w:rsidR="0074043B">
              <w:t xml:space="preserve">. </w:t>
            </w:r>
          </w:p>
          <w:p w14:paraId="4A1A456C" w14:textId="0D7B34E6" w:rsidR="009C36CD" w:rsidRDefault="009C36CD" w:rsidP="000F3139">
            <w:pPr>
              <w:pStyle w:val="Header"/>
              <w:jc w:val="both"/>
            </w:pPr>
          </w:p>
          <w:p w14:paraId="2CF2CD92" w14:textId="424C066C" w:rsidR="00A01A63" w:rsidRPr="009C36CD" w:rsidRDefault="008E55FD" w:rsidP="000F3139">
            <w:pPr>
              <w:pStyle w:val="Header"/>
              <w:jc w:val="both"/>
            </w:pPr>
            <w:r>
              <w:t>C.S.</w:t>
            </w:r>
            <w:r w:rsidR="00766A8A">
              <w:t xml:space="preserve">H.B. 2058 </w:t>
            </w:r>
            <w:r w:rsidR="0074043B">
              <w:t xml:space="preserve">establishes that </w:t>
            </w:r>
            <w:r w:rsidR="00766A8A">
              <w:t>the</w:t>
            </w:r>
            <w:r w:rsidR="0074043B">
              <w:t xml:space="preserve"> </w:t>
            </w:r>
            <w:r w:rsidR="007B5830">
              <w:t xml:space="preserve">skilled labor </w:t>
            </w:r>
            <w:r w:rsidR="0074043B">
              <w:t>task force is abolished</w:t>
            </w:r>
            <w:r w:rsidR="00766A8A">
              <w:t xml:space="preserve"> and the bill’s provisions expire</w:t>
            </w:r>
            <w:r w:rsidR="0074043B">
              <w:t xml:space="preserve"> </w:t>
            </w:r>
            <w:r w:rsidR="007B5830">
              <w:t>September 1, 2027.</w:t>
            </w:r>
          </w:p>
          <w:p w14:paraId="6CE614AD" w14:textId="77777777" w:rsidR="008423E4" w:rsidRPr="00835628" w:rsidRDefault="008423E4" w:rsidP="000F3139">
            <w:pPr>
              <w:rPr>
                <w:b/>
              </w:rPr>
            </w:pPr>
          </w:p>
        </w:tc>
      </w:tr>
      <w:tr w:rsidR="002D58CF" w14:paraId="62C5A7B7" w14:textId="77777777" w:rsidTr="00345119">
        <w:tc>
          <w:tcPr>
            <w:tcW w:w="9576" w:type="dxa"/>
          </w:tcPr>
          <w:p w14:paraId="071E44D1" w14:textId="77777777" w:rsidR="008423E4" w:rsidRPr="00A8133F" w:rsidRDefault="008E55FD" w:rsidP="000F31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F42C71D" w14:textId="77777777" w:rsidR="008423E4" w:rsidRDefault="008423E4" w:rsidP="000F3139"/>
          <w:p w14:paraId="2FDD7E6D" w14:textId="31FDCC3B" w:rsidR="008423E4" w:rsidRPr="003624F2" w:rsidRDefault="008E55FD" w:rsidP="000F31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F47DBBC" w14:textId="77777777" w:rsidR="008423E4" w:rsidRPr="00233FDB" w:rsidRDefault="008423E4" w:rsidP="000F3139">
            <w:pPr>
              <w:rPr>
                <w:b/>
              </w:rPr>
            </w:pPr>
          </w:p>
        </w:tc>
      </w:tr>
      <w:tr w:rsidR="002D58CF" w14:paraId="39B28E38" w14:textId="77777777" w:rsidTr="00345119">
        <w:tc>
          <w:tcPr>
            <w:tcW w:w="9576" w:type="dxa"/>
          </w:tcPr>
          <w:p w14:paraId="4C1C08B9" w14:textId="77777777" w:rsidR="007D2664" w:rsidRDefault="008E55FD" w:rsidP="000F313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1858F13" w14:textId="77777777" w:rsidR="00781F40" w:rsidRDefault="00781F40" w:rsidP="000F3139">
            <w:pPr>
              <w:jc w:val="both"/>
            </w:pPr>
          </w:p>
          <w:p w14:paraId="15A74E6F" w14:textId="4669F8FC" w:rsidR="00781F40" w:rsidRDefault="008E55FD" w:rsidP="000F3139">
            <w:pPr>
              <w:jc w:val="both"/>
            </w:pPr>
            <w:r>
              <w:t xml:space="preserve">While C.S.H.B. 2058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3E9C92D4" w14:textId="17B9A6AF" w:rsidR="00781F40" w:rsidRDefault="00781F40" w:rsidP="000F3139">
            <w:pPr>
              <w:jc w:val="both"/>
            </w:pPr>
          </w:p>
          <w:p w14:paraId="0A65A711" w14:textId="67B80F6C" w:rsidR="00701ABF" w:rsidRDefault="008E55FD" w:rsidP="000F3139">
            <w:pPr>
              <w:jc w:val="both"/>
            </w:pPr>
            <w:r>
              <w:t xml:space="preserve">The substitute increases the </w:t>
            </w:r>
            <w:r w:rsidR="00C641B0">
              <w:t>number</w:t>
            </w:r>
            <w:r>
              <w:t xml:space="preserve"> of members in the skilled labor task force from 15 members, as in the introduced, to 17 members </w:t>
            </w:r>
            <w:r w:rsidR="00C641B0">
              <w:t>by</w:t>
            </w:r>
            <w:r>
              <w:t xml:space="preserve"> </w:t>
            </w:r>
            <w:r w:rsidR="00C641B0">
              <w:t>adding</w:t>
            </w:r>
            <w:r>
              <w:t xml:space="preserve"> one member represen</w:t>
            </w:r>
            <w:r>
              <w:t>ting a public school district</w:t>
            </w:r>
            <w:r w:rsidR="001D7CDD">
              <w:t xml:space="preserve"> and </w:t>
            </w:r>
            <w:r>
              <w:t>one member representing the district attorney's office</w:t>
            </w:r>
            <w:r w:rsidR="001D7CDD">
              <w:t xml:space="preserve">. </w:t>
            </w:r>
          </w:p>
          <w:p w14:paraId="45CDE60D" w14:textId="77777777" w:rsidR="00701ABF" w:rsidRDefault="00701ABF" w:rsidP="000F3139">
            <w:pPr>
              <w:jc w:val="both"/>
            </w:pPr>
          </w:p>
          <w:p w14:paraId="483C4EFB" w14:textId="61858409" w:rsidR="00781F40" w:rsidRDefault="008E55FD" w:rsidP="000F3139">
            <w:pPr>
              <w:jc w:val="both"/>
            </w:pPr>
            <w:r>
              <w:t>The substitute</w:t>
            </w:r>
            <w:r w:rsidR="00B34119">
              <w:t xml:space="preserve"> </w:t>
            </w:r>
            <w:r w:rsidR="00810928">
              <w:t>also</w:t>
            </w:r>
            <w:r w:rsidR="00B34119">
              <w:t xml:space="preserve"> </w:t>
            </w:r>
            <w:r>
              <w:t>includes</w:t>
            </w:r>
            <w:r w:rsidR="00701ABF">
              <w:t xml:space="preserve"> </w:t>
            </w:r>
            <w:r w:rsidR="00810928">
              <w:t xml:space="preserve">strategies for assisting at-risk </w:t>
            </w:r>
            <w:r w:rsidR="00810928" w:rsidRPr="001D7CDD">
              <w:t>teenagers and young adults in preparing for career employment</w:t>
            </w:r>
            <w:r w:rsidR="00810928">
              <w:t xml:space="preserve"> </w:t>
            </w:r>
            <w:r w:rsidR="00701ABF">
              <w:t xml:space="preserve">among the strategies the task force is required to study and develop recommendations for the legislature and </w:t>
            </w:r>
            <w:r w:rsidR="00810928">
              <w:t xml:space="preserve">the </w:t>
            </w:r>
            <w:r w:rsidR="00701ABF">
              <w:t>local workforce development board</w:t>
            </w:r>
            <w:r w:rsidR="00810928">
              <w:t>, whereas the introduced did not include those assistance strategies</w:t>
            </w:r>
            <w:r>
              <w:t xml:space="preserve">. </w:t>
            </w:r>
          </w:p>
          <w:p w14:paraId="036E4DFD" w14:textId="4E78BAC9" w:rsidR="00781F40" w:rsidRPr="00781F40" w:rsidRDefault="00781F40" w:rsidP="000F3139">
            <w:pPr>
              <w:jc w:val="both"/>
            </w:pPr>
          </w:p>
        </w:tc>
      </w:tr>
      <w:tr w:rsidR="002D58CF" w14:paraId="2C425D6F" w14:textId="77777777" w:rsidTr="00345119">
        <w:tc>
          <w:tcPr>
            <w:tcW w:w="9576" w:type="dxa"/>
          </w:tcPr>
          <w:p w14:paraId="2AF5A186" w14:textId="77777777" w:rsidR="007D2664" w:rsidRPr="009C1E9A" w:rsidRDefault="007D2664" w:rsidP="000F3139">
            <w:pPr>
              <w:rPr>
                <w:b/>
                <w:u w:val="single"/>
              </w:rPr>
            </w:pPr>
          </w:p>
        </w:tc>
      </w:tr>
      <w:tr w:rsidR="002D58CF" w14:paraId="060D5715" w14:textId="77777777" w:rsidTr="00345119">
        <w:tc>
          <w:tcPr>
            <w:tcW w:w="9576" w:type="dxa"/>
          </w:tcPr>
          <w:p w14:paraId="74E165DA" w14:textId="77777777" w:rsidR="007D2664" w:rsidRPr="007D2664" w:rsidRDefault="007D2664" w:rsidP="000F3139">
            <w:pPr>
              <w:jc w:val="both"/>
            </w:pPr>
          </w:p>
        </w:tc>
      </w:tr>
    </w:tbl>
    <w:p w14:paraId="53C01150" w14:textId="77777777" w:rsidR="008423E4" w:rsidRPr="00BE0E75" w:rsidRDefault="008423E4" w:rsidP="000F3139">
      <w:pPr>
        <w:jc w:val="both"/>
        <w:rPr>
          <w:rFonts w:ascii="Arial" w:hAnsi="Arial"/>
          <w:sz w:val="16"/>
          <w:szCs w:val="16"/>
        </w:rPr>
      </w:pPr>
    </w:p>
    <w:p w14:paraId="0A65113E" w14:textId="77777777" w:rsidR="004108C3" w:rsidRPr="008423E4" w:rsidRDefault="004108C3" w:rsidP="000F313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A7CC" w14:textId="77777777" w:rsidR="00000000" w:rsidRDefault="008E55FD">
      <w:r>
        <w:separator/>
      </w:r>
    </w:p>
  </w:endnote>
  <w:endnote w:type="continuationSeparator" w:id="0">
    <w:p w14:paraId="0E35AEDE" w14:textId="77777777" w:rsidR="00000000" w:rsidRDefault="008E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C98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58CF" w14:paraId="063D94AC" w14:textId="77777777" w:rsidTr="009C1E9A">
      <w:trPr>
        <w:cantSplit/>
      </w:trPr>
      <w:tc>
        <w:tcPr>
          <w:tcW w:w="0" w:type="pct"/>
        </w:tcPr>
        <w:p w14:paraId="130D72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E29F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068D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7F19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6F9BF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8CF" w14:paraId="76AD02BB" w14:textId="77777777" w:rsidTr="009C1E9A">
      <w:trPr>
        <w:cantSplit/>
      </w:trPr>
      <w:tc>
        <w:tcPr>
          <w:tcW w:w="0" w:type="pct"/>
        </w:tcPr>
        <w:p w14:paraId="037D4A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9642D4" w14:textId="740432B1" w:rsidR="00EC379B" w:rsidRPr="009C1E9A" w:rsidRDefault="008E55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28014-D</w:t>
          </w:r>
        </w:p>
      </w:tc>
      <w:tc>
        <w:tcPr>
          <w:tcW w:w="2453" w:type="pct"/>
        </w:tcPr>
        <w:p w14:paraId="378EA718" w14:textId="390578C3" w:rsidR="00EC379B" w:rsidRDefault="008E55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E3060">
            <w:t>23.124.1892</w:t>
          </w:r>
          <w:r>
            <w:fldChar w:fldCharType="end"/>
          </w:r>
        </w:p>
      </w:tc>
    </w:tr>
    <w:tr w:rsidR="002D58CF" w14:paraId="048B85A2" w14:textId="77777777" w:rsidTr="009C1E9A">
      <w:trPr>
        <w:cantSplit/>
      </w:trPr>
      <w:tc>
        <w:tcPr>
          <w:tcW w:w="0" w:type="pct"/>
        </w:tcPr>
        <w:p w14:paraId="664EB6E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CC404A" w14:textId="031A6BC7" w:rsidR="00EC379B" w:rsidRPr="009C1E9A" w:rsidRDefault="008E55F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17669</w:t>
          </w:r>
        </w:p>
      </w:tc>
      <w:tc>
        <w:tcPr>
          <w:tcW w:w="2453" w:type="pct"/>
        </w:tcPr>
        <w:p w14:paraId="5ACB5EC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00CB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8CF" w14:paraId="34EA56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9237B1" w14:textId="77777777" w:rsidR="00EC379B" w:rsidRDefault="008E55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6F89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043F1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4D8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8362" w14:textId="77777777" w:rsidR="00000000" w:rsidRDefault="008E55FD">
      <w:r>
        <w:separator/>
      </w:r>
    </w:p>
  </w:footnote>
  <w:footnote w:type="continuationSeparator" w:id="0">
    <w:p w14:paraId="0F7DEF49" w14:textId="77777777" w:rsidR="00000000" w:rsidRDefault="008E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E09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2D3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E84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4085"/>
    <w:multiLevelType w:val="hybridMultilevel"/>
    <w:tmpl w:val="BC4C39B6"/>
    <w:lvl w:ilvl="0" w:tplc="C5921EE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BAC8E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DF8D80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AD8ED8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AB87E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A42814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992EF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3D47E0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962029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FF4705"/>
    <w:multiLevelType w:val="hybridMultilevel"/>
    <w:tmpl w:val="AD60B68A"/>
    <w:lvl w:ilvl="0" w:tplc="4FFE5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0B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6E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46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A2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2E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0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A9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E5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D2F50"/>
    <w:multiLevelType w:val="hybridMultilevel"/>
    <w:tmpl w:val="78E8F100"/>
    <w:lvl w:ilvl="0" w:tplc="8F9E4E1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ACA0A2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E562E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79E0AB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F308E7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868FAB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28EFDF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FF6DF6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302B3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7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FA8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139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F79"/>
    <w:rsid w:val="001312BB"/>
    <w:rsid w:val="00133DE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52A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CD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579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188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8CF"/>
    <w:rsid w:val="002E21B8"/>
    <w:rsid w:val="002E3060"/>
    <w:rsid w:val="002E61A0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B8D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0A6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4E2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B92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267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7C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036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4C22"/>
    <w:rsid w:val="00701AB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3B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E28"/>
    <w:rsid w:val="00764786"/>
    <w:rsid w:val="00766A8A"/>
    <w:rsid w:val="00766E12"/>
    <w:rsid w:val="0077098E"/>
    <w:rsid w:val="00771287"/>
    <w:rsid w:val="0077149E"/>
    <w:rsid w:val="00777518"/>
    <w:rsid w:val="0077779E"/>
    <w:rsid w:val="00780FB6"/>
    <w:rsid w:val="00781F40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243"/>
    <w:rsid w:val="007A7EC1"/>
    <w:rsid w:val="007B4FCA"/>
    <w:rsid w:val="007B5830"/>
    <w:rsid w:val="007B7B85"/>
    <w:rsid w:val="007C462E"/>
    <w:rsid w:val="007C496B"/>
    <w:rsid w:val="007C6803"/>
    <w:rsid w:val="007D2664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928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5F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CAC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BB9"/>
    <w:rsid w:val="009F64AE"/>
    <w:rsid w:val="00A0042D"/>
    <w:rsid w:val="00A0053A"/>
    <w:rsid w:val="00A00C33"/>
    <w:rsid w:val="00A01103"/>
    <w:rsid w:val="00A012C0"/>
    <w:rsid w:val="00A014BB"/>
    <w:rsid w:val="00A01A63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2F6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37D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119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A2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C68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1B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833"/>
    <w:rsid w:val="00CA4CA0"/>
    <w:rsid w:val="00CA5E5E"/>
    <w:rsid w:val="00CA7D7B"/>
    <w:rsid w:val="00CB0131"/>
    <w:rsid w:val="00CB0AE4"/>
    <w:rsid w:val="00CB0C21"/>
    <w:rsid w:val="00CB0D1A"/>
    <w:rsid w:val="00CB3627"/>
    <w:rsid w:val="00CB38CD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D7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621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21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C19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967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7BE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2E2ABE-C8EF-4000-B9B2-24CADDD8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5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830"/>
    <w:rPr>
      <w:b/>
      <w:bCs/>
    </w:rPr>
  </w:style>
  <w:style w:type="paragraph" w:styleId="Revision">
    <w:name w:val="Revision"/>
    <w:hidden/>
    <w:uiPriority w:val="99"/>
    <w:semiHidden/>
    <w:rsid w:val="00345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4335</Characters>
  <Application>Microsoft Office Word</Application>
  <DocSecurity>4</DocSecurity>
  <Lines>98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HB02058 (Committee Report (Substituted))</vt:lpstr>
    </vt:vector>
  </TitlesOfParts>
  <Company>State of Texas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28014</dc:subject>
  <dc:creator>State of Texas</dc:creator>
  <dc:description>HB 2058 by Gamez-(H)International Relations &amp; Economic Development (Substitute Document Number: 88R 17669)</dc:description>
  <cp:lastModifiedBy>Matthew Lee</cp:lastModifiedBy>
  <cp:revision>2</cp:revision>
  <cp:lastPrinted>2003-11-26T17:21:00Z</cp:lastPrinted>
  <dcterms:created xsi:type="dcterms:W3CDTF">2023-05-05T17:10:00Z</dcterms:created>
  <dcterms:modified xsi:type="dcterms:W3CDTF">2023-05-05T17:10:00Z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23.124.1892</vt:lpwstr>
  </property>
</Properties>
</file>