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307C8" w14:paraId="56DBC206" w14:textId="77777777" w:rsidTr="00345119">
        <w:tc>
          <w:tcPr>
            <w:tcW w:w="9576" w:type="dxa"/>
            <w:noWrap/>
          </w:tcPr>
          <w:p w14:paraId="390A2FE2" w14:textId="77777777" w:rsidR="008423E4" w:rsidRPr="0022177D" w:rsidRDefault="00794DD3" w:rsidP="005C57F9">
            <w:pPr>
              <w:pStyle w:val="Heading1"/>
            </w:pPr>
            <w:r w:rsidRPr="00631897">
              <w:t>BILL ANALYSIS</w:t>
            </w:r>
          </w:p>
        </w:tc>
      </w:tr>
    </w:tbl>
    <w:p w14:paraId="47AF409D" w14:textId="77777777" w:rsidR="008423E4" w:rsidRPr="0022177D" w:rsidRDefault="008423E4" w:rsidP="005C57F9">
      <w:pPr>
        <w:jc w:val="center"/>
      </w:pPr>
    </w:p>
    <w:p w14:paraId="294E981C" w14:textId="77777777" w:rsidR="008423E4" w:rsidRPr="00B31F0E" w:rsidRDefault="008423E4" w:rsidP="005C57F9"/>
    <w:p w14:paraId="472E322E" w14:textId="77777777" w:rsidR="008423E4" w:rsidRPr="00742794" w:rsidRDefault="008423E4" w:rsidP="005C57F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307C8" w14:paraId="2924B841" w14:textId="77777777" w:rsidTr="00345119">
        <w:tc>
          <w:tcPr>
            <w:tcW w:w="9576" w:type="dxa"/>
          </w:tcPr>
          <w:p w14:paraId="5247D78A" w14:textId="740E5018" w:rsidR="008423E4" w:rsidRPr="00861995" w:rsidRDefault="00794DD3" w:rsidP="005C57F9">
            <w:pPr>
              <w:jc w:val="right"/>
            </w:pPr>
            <w:r>
              <w:t>H.B. 2065</w:t>
            </w:r>
          </w:p>
        </w:tc>
      </w:tr>
      <w:tr w:rsidR="001307C8" w14:paraId="7ACED053" w14:textId="77777777" w:rsidTr="00345119">
        <w:tc>
          <w:tcPr>
            <w:tcW w:w="9576" w:type="dxa"/>
          </w:tcPr>
          <w:p w14:paraId="00BD5768" w14:textId="02E6BE55" w:rsidR="008423E4" w:rsidRPr="00861995" w:rsidRDefault="00794DD3" w:rsidP="005C57F9">
            <w:pPr>
              <w:jc w:val="right"/>
            </w:pPr>
            <w:r>
              <w:t xml:space="preserve">By: </w:t>
            </w:r>
            <w:r w:rsidR="008B1610">
              <w:t>Thompson, Ed</w:t>
            </w:r>
          </w:p>
        </w:tc>
      </w:tr>
      <w:tr w:rsidR="001307C8" w14:paraId="02DE8352" w14:textId="77777777" w:rsidTr="00345119">
        <w:tc>
          <w:tcPr>
            <w:tcW w:w="9576" w:type="dxa"/>
          </w:tcPr>
          <w:p w14:paraId="6B1AEC0C" w14:textId="69298ECF" w:rsidR="008423E4" w:rsidRPr="00861995" w:rsidRDefault="00794DD3" w:rsidP="005C57F9">
            <w:pPr>
              <w:jc w:val="right"/>
            </w:pPr>
            <w:r>
              <w:t>Insurance</w:t>
            </w:r>
          </w:p>
        </w:tc>
      </w:tr>
      <w:tr w:rsidR="001307C8" w14:paraId="6D920176" w14:textId="77777777" w:rsidTr="00345119">
        <w:tc>
          <w:tcPr>
            <w:tcW w:w="9576" w:type="dxa"/>
          </w:tcPr>
          <w:p w14:paraId="2D60971D" w14:textId="5D513481" w:rsidR="008423E4" w:rsidRDefault="00794DD3" w:rsidP="005C57F9">
            <w:pPr>
              <w:jc w:val="right"/>
            </w:pPr>
            <w:r>
              <w:t>Committee Report (Unamended)</w:t>
            </w:r>
          </w:p>
        </w:tc>
      </w:tr>
    </w:tbl>
    <w:p w14:paraId="154EF91E" w14:textId="77777777" w:rsidR="008423E4" w:rsidRDefault="008423E4" w:rsidP="005C57F9">
      <w:pPr>
        <w:tabs>
          <w:tab w:val="right" w:pos="9360"/>
        </w:tabs>
      </w:pPr>
    </w:p>
    <w:p w14:paraId="11B7A115" w14:textId="77777777" w:rsidR="008423E4" w:rsidRDefault="008423E4" w:rsidP="005C57F9"/>
    <w:p w14:paraId="4CAB6A69" w14:textId="77777777" w:rsidR="008423E4" w:rsidRDefault="008423E4" w:rsidP="005C57F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307C8" w14:paraId="30D153CC" w14:textId="77777777" w:rsidTr="00345119">
        <w:tc>
          <w:tcPr>
            <w:tcW w:w="9576" w:type="dxa"/>
          </w:tcPr>
          <w:p w14:paraId="671E186E" w14:textId="77777777" w:rsidR="008423E4" w:rsidRPr="00A8133F" w:rsidRDefault="00794DD3" w:rsidP="005C57F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89C2F72" w14:textId="77777777" w:rsidR="008423E4" w:rsidRDefault="008423E4" w:rsidP="005C57F9"/>
          <w:p w14:paraId="179FADFB" w14:textId="7AFCF1A6" w:rsidR="008B1610" w:rsidRPr="008B1610" w:rsidRDefault="00794DD3" w:rsidP="005C57F9">
            <w:pPr>
              <w:jc w:val="both"/>
            </w:pPr>
            <w:r>
              <w:t>When a claim is filed with the insurance company of the at-fault driver, the at-fault driver must cooperate in the claims process</w:t>
            </w:r>
            <w:r w:rsidR="006D4BDE">
              <w:t xml:space="preserve"> or must consequently face nonrenewal by the insurance company</w:t>
            </w:r>
            <w:r>
              <w:t xml:space="preserve">. However, </w:t>
            </w:r>
            <w:r w:rsidR="006D4BDE">
              <w:t>if the driver was not</w:t>
            </w:r>
            <w:r>
              <w:t xml:space="preserve"> the </w:t>
            </w:r>
            <w:r w:rsidR="00D67772">
              <w:t>named insured or policyholder,</w:t>
            </w:r>
            <w:r>
              <w:t xml:space="preserve"> but</w:t>
            </w:r>
            <w:r w:rsidR="006D4BDE">
              <w:t xml:space="preserve"> was instead</w:t>
            </w:r>
            <w:r>
              <w:t xml:space="preserve"> someone who had permission to drive the vehicle and </w:t>
            </w:r>
            <w:r w:rsidR="002341BA">
              <w:t xml:space="preserve">was </w:t>
            </w:r>
            <w:r>
              <w:t>also considered an insured</w:t>
            </w:r>
            <w:r w:rsidR="006D4BDE">
              <w:t xml:space="preserve">, </w:t>
            </w:r>
            <w:r>
              <w:t xml:space="preserve">the insurance company may </w:t>
            </w:r>
            <w:r>
              <w:t>need to get the statement and cooperation of the insured and not the named insured</w:t>
            </w:r>
            <w:r w:rsidRPr="008B1610">
              <w:t xml:space="preserve">. </w:t>
            </w:r>
            <w:r w:rsidR="00D64937">
              <w:t xml:space="preserve">H.B. 2065 seeks to close this loophole by removing </w:t>
            </w:r>
            <w:r w:rsidR="00D67772">
              <w:t>the</w:t>
            </w:r>
            <w:r w:rsidR="00D64937">
              <w:t xml:space="preserve"> specification that the insured whose</w:t>
            </w:r>
            <w:r w:rsidR="00D7379E">
              <w:t xml:space="preserve"> </w:t>
            </w:r>
            <w:r w:rsidR="00D64937">
              <w:t xml:space="preserve">failure or refusal to cooperate </w:t>
            </w:r>
            <w:r w:rsidR="00D7379E">
              <w:t xml:space="preserve">with the insurer under certain circumstances </w:t>
            </w:r>
            <w:r w:rsidR="00D64937">
              <w:t xml:space="preserve">triggers </w:t>
            </w:r>
            <w:r w:rsidR="00D7379E">
              <w:t>mandatory</w:t>
            </w:r>
            <w:r w:rsidR="00D64937">
              <w:t xml:space="preserve"> nonrenewal is a named insured</w:t>
            </w:r>
            <w:r w:rsidR="00D67772">
              <w:t>.</w:t>
            </w:r>
          </w:p>
          <w:p w14:paraId="04FE74BE" w14:textId="5BA6588B" w:rsidR="008B1610" w:rsidRPr="00E26B13" w:rsidRDefault="008B1610" w:rsidP="005C57F9">
            <w:pPr>
              <w:rPr>
                <w:b/>
              </w:rPr>
            </w:pPr>
          </w:p>
        </w:tc>
      </w:tr>
      <w:tr w:rsidR="001307C8" w14:paraId="6ED4FB63" w14:textId="77777777" w:rsidTr="00345119">
        <w:tc>
          <w:tcPr>
            <w:tcW w:w="9576" w:type="dxa"/>
          </w:tcPr>
          <w:p w14:paraId="69888A7B" w14:textId="54CF5F92" w:rsidR="0017725B" w:rsidRDefault="00794DD3" w:rsidP="005C57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6357490" w14:textId="77777777" w:rsidR="0017725B" w:rsidRDefault="0017725B" w:rsidP="005C57F9">
            <w:pPr>
              <w:rPr>
                <w:b/>
                <w:u w:val="single"/>
              </w:rPr>
            </w:pPr>
          </w:p>
          <w:p w14:paraId="3C8B18F5" w14:textId="3F493716" w:rsidR="00E61FD4" w:rsidRPr="00E61FD4" w:rsidRDefault="00794DD3" w:rsidP="005C57F9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</w:t>
            </w:r>
            <w:r>
              <w:t>change the eligibility of a person for community supervision, parole, or mandatory supervision.</w:t>
            </w:r>
          </w:p>
          <w:p w14:paraId="263F8B6F" w14:textId="77777777" w:rsidR="0017725B" w:rsidRPr="0017725B" w:rsidRDefault="0017725B" w:rsidP="005C57F9">
            <w:pPr>
              <w:rPr>
                <w:b/>
                <w:u w:val="single"/>
              </w:rPr>
            </w:pPr>
          </w:p>
        </w:tc>
      </w:tr>
      <w:tr w:rsidR="001307C8" w14:paraId="0C4CD5B4" w14:textId="77777777" w:rsidTr="00345119">
        <w:tc>
          <w:tcPr>
            <w:tcW w:w="9576" w:type="dxa"/>
          </w:tcPr>
          <w:p w14:paraId="7BBCEB8A" w14:textId="77777777" w:rsidR="008423E4" w:rsidRPr="00A8133F" w:rsidRDefault="00794DD3" w:rsidP="005C57F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9A5009A" w14:textId="77777777" w:rsidR="008423E4" w:rsidRDefault="008423E4" w:rsidP="005C57F9"/>
          <w:p w14:paraId="5F268C87" w14:textId="64EA0064" w:rsidR="00E61FD4" w:rsidRDefault="00794DD3" w:rsidP="005C57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</w:t>
            </w:r>
            <w:r>
              <w:t>t, agency, or institution.</w:t>
            </w:r>
          </w:p>
          <w:p w14:paraId="39AF11DB" w14:textId="77777777" w:rsidR="008423E4" w:rsidRPr="00E21FDC" w:rsidRDefault="008423E4" w:rsidP="005C57F9">
            <w:pPr>
              <w:rPr>
                <w:b/>
              </w:rPr>
            </w:pPr>
          </w:p>
        </w:tc>
      </w:tr>
      <w:tr w:rsidR="001307C8" w14:paraId="6AA434B1" w14:textId="77777777" w:rsidTr="00345119">
        <w:tc>
          <w:tcPr>
            <w:tcW w:w="9576" w:type="dxa"/>
          </w:tcPr>
          <w:p w14:paraId="7AAF1761" w14:textId="77777777" w:rsidR="008423E4" w:rsidRPr="00A8133F" w:rsidRDefault="00794DD3" w:rsidP="005C57F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A20DEE6" w14:textId="77777777" w:rsidR="008423E4" w:rsidRDefault="008423E4" w:rsidP="005C57F9"/>
          <w:p w14:paraId="1BD27335" w14:textId="3285A68E" w:rsidR="00630E32" w:rsidRDefault="00794DD3" w:rsidP="005C57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2065 amends the Insurance Code to revise</w:t>
            </w:r>
            <w:r w:rsidR="00B45B7E">
              <w:t xml:space="preserve"> provisions </w:t>
            </w:r>
            <w:r w:rsidR="00FC4AF2">
              <w:t xml:space="preserve">requiring an insurer to provide certain notice to </w:t>
            </w:r>
            <w:r w:rsidR="00FB7FEF">
              <w:t>the</w:t>
            </w:r>
            <w:r w:rsidR="00FC4AF2">
              <w:t xml:space="preserve"> named insured </w:t>
            </w:r>
            <w:r>
              <w:t>o</w:t>
            </w:r>
            <w:r w:rsidR="00786EFF">
              <w:t>n</w:t>
            </w:r>
            <w:r w:rsidR="00B45B7E">
              <w:t xml:space="preserve"> </w:t>
            </w:r>
            <w:r w:rsidR="00111C85">
              <w:t>a private passenger automobile insurance policy</w:t>
            </w:r>
            <w:r w:rsidR="0084371A">
              <w:t xml:space="preserve"> </w:t>
            </w:r>
            <w:r w:rsidR="000314BC">
              <w:t>if</w:t>
            </w:r>
            <w:r w:rsidR="0084371A">
              <w:t xml:space="preserve"> an</w:t>
            </w:r>
            <w:r>
              <w:t>y</w:t>
            </w:r>
            <w:r w:rsidR="0084371A">
              <w:t xml:space="preserve"> insured</w:t>
            </w:r>
            <w:r w:rsidR="000314BC">
              <w:t xml:space="preserve"> under th</w:t>
            </w:r>
            <w:r>
              <w:t xml:space="preserve">at </w:t>
            </w:r>
            <w:r w:rsidR="000314BC">
              <w:t>policy</w:t>
            </w:r>
            <w:r w:rsidR="0084371A">
              <w:t xml:space="preserve"> fails </w:t>
            </w:r>
            <w:r w:rsidR="003151E1">
              <w:t xml:space="preserve">or refuses </w:t>
            </w:r>
            <w:r w:rsidR="0084371A">
              <w:t xml:space="preserve">to cooperate with </w:t>
            </w:r>
            <w:r w:rsidR="000314BC">
              <w:t>the</w:t>
            </w:r>
            <w:r w:rsidR="0084371A">
              <w:t xml:space="preserve"> insurer</w:t>
            </w:r>
            <w:r w:rsidR="00047C41">
              <w:t xml:space="preserve"> in an investigation, </w:t>
            </w:r>
            <w:r w:rsidR="00047C41" w:rsidRPr="00047C41">
              <w:t>settlement, or defense</w:t>
            </w:r>
            <w:r w:rsidR="000314BC">
              <w:t xml:space="preserve"> of a claim or action</w:t>
            </w:r>
            <w:r>
              <w:t xml:space="preserve"> and subjecting the policy to </w:t>
            </w:r>
            <w:r w:rsidR="00786EFF">
              <w:t xml:space="preserve">mandatory </w:t>
            </w:r>
            <w:r>
              <w:t xml:space="preserve">nonrenewal if </w:t>
            </w:r>
            <w:r w:rsidR="00FB7FEF">
              <w:t>such</w:t>
            </w:r>
            <w:r>
              <w:t xml:space="preserve"> failure or refusal continues </w:t>
            </w:r>
            <w:r w:rsidR="00786EFF">
              <w:t>by doing the following</w:t>
            </w:r>
            <w:r>
              <w:t>:</w:t>
            </w:r>
          </w:p>
          <w:p w14:paraId="037AC732" w14:textId="647CF629" w:rsidR="00630E32" w:rsidRDefault="00794DD3" w:rsidP="005C57F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making those provisions </w:t>
            </w:r>
            <w:r w:rsidR="00C86DD6">
              <w:t>applicable</w:t>
            </w:r>
            <w:r w:rsidR="00C876B6">
              <w:t xml:space="preserve"> only with respect to third-party liability claims or</w:t>
            </w:r>
            <w:r w:rsidR="003151E1">
              <w:t xml:space="preserve"> actions</w:t>
            </w:r>
            <w:r>
              <w:t>; and</w:t>
            </w:r>
          </w:p>
          <w:p w14:paraId="5EC0DEAB" w14:textId="083A4D9B" w:rsidR="00786EFF" w:rsidRDefault="00794DD3" w:rsidP="005C57F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remov</w:t>
            </w:r>
            <w:r w:rsidR="00630E32">
              <w:t>ing</w:t>
            </w:r>
            <w:r>
              <w:t xml:space="preserve"> a specification that the </w:t>
            </w:r>
            <w:r w:rsidR="00C876B6">
              <w:t xml:space="preserve">insured </w:t>
            </w:r>
            <w:r w:rsidR="002377DD">
              <w:t>whose failure or refusal</w:t>
            </w:r>
            <w:r w:rsidR="00C876B6">
              <w:t xml:space="preserve"> to cooperate</w:t>
            </w:r>
            <w:r w:rsidR="00FB7FEF">
              <w:t xml:space="preserve"> </w:t>
            </w:r>
            <w:r w:rsidR="002377DD">
              <w:t xml:space="preserve">triggers the nonrenewal </w:t>
            </w:r>
            <w:r w:rsidR="00C876B6">
              <w:t xml:space="preserve">is </w:t>
            </w:r>
            <w:r w:rsidR="002377DD">
              <w:t>a</w:t>
            </w:r>
            <w:r w:rsidR="00C876B6">
              <w:t xml:space="preserve"> named insured.</w:t>
            </w:r>
          </w:p>
          <w:p w14:paraId="4A13DE5E" w14:textId="3FBFE5A9" w:rsidR="009C36CD" w:rsidRPr="009C36CD" w:rsidRDefault="00794DD3" w:rsidP="005C57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applies only to an insurance policy delivered, issued for delivery, or rene</w:t>
            </w:r>
            <w:r w:rsidR="00C86DD6">
              <w:t>wed</w:t>
            </w:r>
            <w:r>
              <w:t xml:space="preserve"> on or after January 1, 2024. </w:t>
            </w:r>
          </w:p>
          <w:p w14:paraId="77469A8E" w14:textId="77777777" w:rsidR="008423E4" w:rsidRPr="00835628" w:rsidRDefault="008423E4" w:rsidP="005C57F9">
            <w:pPr>
              <w:rPr>
                <w:b/>
              </w:rPr>
            </w:pPr>
          </w:p>
        </w:tc>
      </w:tr>
      <w:tr w:rsidR="001307C8" w14:paraId="0E98DEBF" w14:textId="77777777" w:rsidTr="00345119">
        <w:tc>
          <w:tcPr>
            <w:tcW w:w="9576" w:type="dxa"/>
          </w:tcPr>
          <w:p w14:paraId="388654ED" w14:textId="77777777" w:rsidR="008423E4" w:rsidRPr="00A8133F" w:rsidRDefault="00794DD3" w:rsidP="005C57F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474CDC9" w14:textId="77777777" w:rsidR="008423E4" w:rsidRDefault="008423E4" w:rsidP="005C57F9"/>
          <w:p w14:paraId="600748A5" w14:textId="76D316CA" w:rsidR="008423E4" w:rsidRPr="003624F2" w:rsidRDefault="00794DD3" w:rsidP="005C57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27ADDBA" w14:textId="77777777" w:rsidR="008423E4" w:rsidRPr="00233FDB" w:rsidRDefault="008423E4" w:rsidP="005C57F9">
            <w:pPr>
              <w:rPr>
                <w:b/>
              </w:rPr>
            </w:pPr>
          </w:p>
        </w:tc>
      </w:tr>
    </w:tbl>
    <w:p w14:paraId="19A60561" w14:textId="77777777" w:rsidR="008423E4" w:rsidRPr="00BE0E75" w:rsidRDefault="008423E4" w:rsidP="005C57F9">
      <w:pPr>
        <w:jc w:val="both"/>
        <w:rPr>
          <w:rFonts w:ascii="Arial" w:hAnsi="Arial"/>
          <w:sz w:val="16"/>
          <w:szCs w:val="16"/>
        </w:rPr>
      </w:pPr>
    </w:p>
    <w:p w14:paraId="1129125D" w14:textId="77777777" w:rsidR="004108C3" w:rsidRPr="008423E4" w:rsidRDefault="004108C3" w:rsidP="005C57F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B51C" w14:textId="77777777" w:rsidR="00000000" w:rsidRDefault="00794DD3">
      <w:r>
        <w:separator/>
      </w:r>
    </w:p>
  </w:endnote>
  <w:endnote w:type="continuationSeparator" w:id="0">
    <w:p w14:paraId="3678BE44" w14:textId="77777777" w:rsidR="00000000" w:rsidRDefault="0079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D68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307C8" w14:paraId="51CF9F3B" w14:textId="77777777" w:rsidTr="009C1E9A">
      <w:trPr>
        <w:cantSplit/>
      </w:trPr>
      <w:tc>
        <w:tcPr>
          <w:tcW w:w="0" w:type="pct"/>
        </w:tcPr>
        <w:p w14:paraId="48CAD33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814E8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51522B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6E285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B1DD05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307C8" w14:paraId="6959681E" w14:textId="77777777" w:rsidTr="009C1E9A">
      <w:trPr>
        <w:cantSplit/>
      </w:trPr>
      <w:tc>
        <w:tcPr>
          <w:tcW w:w="0" w:type="pct"/>
        </w:tcPr>
        <w:p w14:paraId="251C88A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B34FED" w14:textId="215C1D3B" w:rsidR="00EC379B" w:rsidRPr="009C1E9A" w:rsidRDefault="00794DD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24781-D</w:t>
          </w:r>
        </w:p>
      </w:tc>
      <w:tc>
        <w:tcPr>
          <w:tcW w:w="2453" w:type="pct"/>
        </w:tcPr>
        <w:p w14:paraId="440E0818" w14:textId="2F627227" w:rsidR="00EC379B" w:rsidRDefault="00794DD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B1FDB">
            <w:t>23.110.2414</w:t>
          </w:r>
          <w:r>
            <w:fldChar w:fldCharType="end"/>
          </w:r>
        </w:p>
      </w:tc>
    </w:tr>
    <w:tr w:rsidR="001307C8" w14:paraId="10151D76" w14:textId="77777777" w:rsidTr="009C1E9A">
      <w:trPr>
        <w:cantSplit/>
      </w:trPr>
      <w:tc>
        <w:tcPr>
          <w:tcW w:w="0" w:type="pct"/>
        </w:tcPr>
        <w:p w14:paraId="25FC3A3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852185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07D6D1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6CF0C3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307C8" w14:paraId="1A0AD9C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517EC2C" w14:textId="77777777" w:rsidR="00EC379B" w:rsidRDefault="00794DD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1CBFF3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D51068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11C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6C49" w14:textId="77777777" w:rsidR="00000000" w:rsidRDefault="00794DD3">
      <w:r>
        <w:separator/>
      </w:r>
    </w:p>
  </w:footnote>
  <w:footnote w:type="continuationSeparator" w:id="0">
    <w:p w14:paraId="043DF346" w14:textId="77777777" w:rsidR="00000000" w:rsidRDefault="00794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0C5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C0F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557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40D94"/>
    <w:multiLevelType w:val="hybridMultilevel"/>
    <w:tmpl w:val="33D4A07E"/>
    <w:lvl w:ilvl="0" w:tplc="EA20960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6242F8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ED2ADB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F06075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FA4229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E0EEDC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B7E360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640DEE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6BCF8C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D49683B"/>
    <w:multiLevelType w:val="hybridMultilevel"/>
    <w:tmpl w:val="DC4E4B28"/>
    <w:lvl w:ilvl="0" w:tplc="4E2A3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1E2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FA4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09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2D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08F4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20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83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9E1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6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4BC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47C41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1FDB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0C49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580"/>
    <w:rsid w:val="000F6A06"/>
    <w:rsid w:val="0010154D"/>
    <w:rsid w:val="00102D3F"/>
    <w:rsid w:val="00102EC7"/>
    <w:rsid w:val="0010347D"/>
    <w:rsid w:val="0010604D"/>
    <w:rsid w:val="00110F8C"/>
    <w:rsid w:val="00111C85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7C8"/>
    <w:rsid w:val="001312BB"/>
    <w:rsid w:val="00137D90"/>
    <w:rsid w:val="00141FB6"/>
    <w:rsid w:val="00142F8E"/>
    <w:rsid w:val="00143C8B"/>
    <w:rsid w:val="00147530"/>
    <w:rsid w:val="00151EF5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853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4444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1BA"/>
    <w:rsid w:val="00234F58"/>
    <w:rsid w:val="0023507D"/>
    <w:rsid w:val="002377D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306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1E1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37824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57F9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0E32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BDE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2B22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6EFF"/>
    <w:rsid w:val="0079487D"/>
    <w:rsid w:val="00794DD3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6109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71A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1610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6BF"/>
    <w:rsid w:val="008D58F9"/>
    <w:rsid w:val="008D7427"/>
    <w:rsid w:val="008E2D9E"/>
    <w:rsid w:val="008E3338"/>
    <w:rsid w:val="008E3E85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06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D8E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5806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5B7E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4DA5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3D28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6DD6"/>
    <w:rsid w:val="00C876B6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081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5C3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937"/>
    <w:rsid w:val="00D64B88"/>
    <w:rsid w:val="00D64DC5"/>
    <w:rsid w:val="00D66BA6"/>
    <w:rsid w:val="00D67772"/>
    <w:rsid w:val="00D700B1"/>
    <w:rsid w:val="00D730FA"/>
    <w:rsid w:val="00D7379E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FD4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DA9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4576"/>
    <w:rsid w:val="00FB73AE"/>
    <w:rsid w:val="00FB7FEF"/>
    <w:rsid w:val="00FC4AF2"/>
    <w:rsid w:val="00FC5388"/>
    <w:rsid w:val="00FC5D41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62514F-321A-4085-95C7-026A0A87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61F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1F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1FD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1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1FD4"/>
    <w:rPr>
      <w:b/>
      <w:bCs/>
    </w:rPr>
  </w:style>
  <w:style w:type="paragraph" w:styleId="Revision">
    <w:name w:val="Revision"/>
    <w:hidden/>
    <w:uiPriority w:val="99"/>
    <w:semiHidden/>
    <w:rsid w:val="00B45B7E"/>
    <w:rPr>
      <w:sz w:val="24"/>
      <w:szCs w:val="24"/>
    </w:rPr>
  </w:style>
  <w:style w:type="character" w:styleId="Hyperlink">
    <w:name w:val="Hyperlink"/>
    <w:basedOn w:val="DefaultParagraphFont"/>
    <w:unhideWhenUsed/>
    <w:rsid w:val="00A03D8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1766</Characters>
  <Application>Microsoft Office Word</Application>
  <DocSecurity>4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HB02065 (Committee Report (Unamended))</vt:lpstr>
    </vt:vector>
  </TitlesOfParts>
  <Company>State of Texas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24781</dc:subject>
  <dc:creator>State of Texas</dc:creator>
  <dc:description>HB 2065 by Thompson, Ed-(H)Insurance</dc:description>
  <cp:lastModifiedBy>Matthew Lee</cp:lastModifiedBy>
  <cp:revision>2</cp:revision>
  <cp:lastPrinted>2003-11-26T17:21:00Z</cp:lastPrinted>
  <dcterms:created xsi:type="dcterms:W3CDTF">2023-04-21T21:44:00Z</dcterms:created>
  <dcterms:modified xsi:type="dcterms:W3CDTF">2023-04-21T21:44:00Z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23.110.2414</vt:lpwstr>
  </property>
</Properties>
</file>