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D0596" w14:paraId="0B9B5EFE" w14:textId="77777777" w:rsidTr="00345119">
        <w:tc>
          <w:tcPr>
            <w:tcW w:w="9576" w:type="dxa"/>
            <w:noWrap/>
          </w:tcPr>
          <w:p w14:paraId="074C0D00" w14:textId="77777777" w:rsidR="008423E4" w:rsidRPr="0022177D" w:rsidRDefault="00541BBD" w:rsidP="003D1DF9">
            <w:pPr>
              <w:pStyle w:val="Heading1"/>
            </w:pPr>
            <w:r w:rsidRPr="00631897">
              <w:t>BILL ANALYSIS</w:t>
            </w:r>
          </w:p>
        </w:tc>
      </w:tr>
    </w:tbl>
    <w:p w14:paraId="6297ED45" w14:textId="77777777" w:rsidR="008423E4" w:rsidRPr="003D1DF9" w:rsidRDefault="008423E4" w:rsidP="003D1DF9">
      <w:pPr>
        <w:jc w:val="center"/>
        <w:rPr>
          <w:sz w:val="20"/>
          <w:szCs w:val="20"/>
        </w:rPr>
      </w:pPr>
    </w:p>
    <w:p w14:paraId="79765657" w14:textId="77777777" w:rsidR="008423E4" w:rsidRPr="003D1DF9" w:rsidRDefault="008423E4" w:rsidP="003D1DF9">
      <w:pPr>
        <w:rPr>
          <w:sz w:val="20"/>
          <w:szCs w:val="20"/>
        </w:rPr>
      </w:pPr>
    </w:p>
    <w:p w14:paraId="4BDB457C" w14:textId="77777777" w:rsidR="008423E4" w:rsidRPr="003D1DF9" w:rsidRDefault="008423E4" w:rsidP="003D1DF9">
      <w:pPr>
        <w:tabs>
          <w:tab w:val="right" w:pos="9360"/>
        </w:tabs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D0596" w14:paraId="0CEDEECB" w14:textId="77777777" w:rsidTr="00345119">
        <w:tc>
          <w:tcPr>
            <w:tcW w:w="9576" w:type="dxa"/>
          </w:tcPr>
          <w:p w14:paraId="360585E2" w14:textId="2637258A" w:rsidR="008423E4" w:rsidRPr="00861995" w:rsidRDefault="00541BBD" w:rsidP="003D1DF9">
            <w:pPr>
              <w:jc w:val="right"/>
            </w:pPr>
            <w:r>
              <w:t>H.B. 2086</w:t>
            </w:r>
          </w:p>
        </w:tc>
      </w:tr>
      <w:tr w:rsidR="00AD0596" w14:paraId="44242341" w14:textId="77777777" w:rsidTr="00345119">
        <w:tc>
          <w:tcPr>
            <w:tcW w:w="9576" w:type="dxa"/>
          </w:tcPr>
          <w:p w14:paraId="1EEEA45C" w14:textId="3B2FD8ED" w:rsidR="008423E4" w:rsidRPr="00861995" w:rsidRDefault="00541BBD" w:rsidP="003D1DF9">
            <w:pPr>
              <w:jc w:val="right"/>
            </w:pPr>
            <w:r>
              <w:t xml:space="preserve">By: </w:t>
            </w:r>
            <w:r w:rsidR="0095501D">
              <w:t>Perez</w:t>
            </w:r>
          </w:p>
        </w:tc>
      </w:tr>
      <w:tr w:rsidR="00AD0596" w14:paraId="199CF6AD" w14:textId="77777777" w:rsidTr="00345119">
        <w:tc>
          <w:tcPr>
            <w:tcW w:w="9576" w:type="dxa"/>
          </w:tcPr>
          <w:p w14:paraId="3969598B" w14:textId="6B783E79" w:rsidR="008423E4" w:rsidRPr="00861995" w:rsidRDefault="00541BBD" w:rsidP="003D1DF9">
            <w:pPr>
              <w:jc w:val="right"/>
            </w:pPr>
            <w:r>
              <w:t>Criminal Jurisprudence</w:t>
            </w:r>
          </w:p>
        </w:tc>
      </w:tr>
      <w:tr w:rsidR="00AD0596" w14:paraId="3C40C1E0" w14:textId="77777777" w:rsidTr="00345119">
        <w:tc>
          <w:tcPr>
            <w:tcW w:w="9576" w:type="dxa"/>
          </w:tcPr>
          <w:p w14:paraId="35B001C5" w14:textId="53CE657E" w:rsidR="008423E4" w:rsidRDefault="00541BBD" w:rsidP="003D1DF9">
            <w:pPr>
              <w:jc w:val="right"/>
            </w:pPr>
            <w:r>
              <w:t>Committee Report (Unamended)</w:t>
            </w:r>
          </w:p>
        </w:tc>
      </w:tr>
    </w:tbl>
    <w:p w14:paraId="1B5A8A04" w14:textId="77777777" w:rsidR="008423E4" w:rsidRPr="003D1DF9" w:rsidRDefault="008423E4" w:rsidP="003D1DF9">
      <w:pPr>
        <w:tabs>
          <w:tab w:val="right" w:pos="9360"/>
        </w:tabs>
        <w:rPr>
          <w:sz w:val="20"/>
          <w:szCs w:val="20"/>
        </w:rPr>
      </w:pPr>
    </w:p>
    <w:p w14:paraId="7B6D748C" w14:textId="77777777" w:rsidR="008423E4" w:rsidRPr="003D1DF9" w:rsidRDefault="008423E4" w:rsidP="003D1DF9">
      <w:pPr>
        <w:rPr>
          <w:sz w:val="20"/>
          <w:szCs w:val="20"/>
        </w:rPr>
      </w:pPr>
    </w:p>
    <w:p w14:paraId="311D086F" w14:textId="77777777" w:rsidR="008423E4" w:rsidRPr="003D1DF9" w:rsidRDefault="008423E4" w:rsidP="003D1DF9">
      <w:pPr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D0596" w14:paraId="02FF6098" w14:textId="77777777" w:rsidTr="00345119">
        <w:tc>
          <w:tcPr>
            <w:tcW w:w="9576" w:type="dxa"/>
          </w:tcPr>
          <w:p w14:paraId="41D9619E" w14:textId="77777777" w:rsidR="008423E4" w:rsidRPr="00A8133F" w:rsidRDefault="00541BBD" w:rsidP="003D1DF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B82B554" w14:textId="77777777" w:rsidR="008423E4" w:rsidRDefault="008423E4" w:rsidP="003D1DF9"/>
          <w:p w14:paraId="70732391" w14:textId="6ECE065F" w:rsidR="008423E4" w:rsidRDefault="00541BBD" w:rsidP="003D1DF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86th and 87th Texas Legislatures enacted legislation aimed at combatting card skimmers at gas pumps in Texas. </w:t>
            </w:r>
            <w:r w:rsidR="0069327E">
              <w:t>In recent years</w:t>
            </w:r>
            <w:r>
              <w:t xml:space="preserve">, </w:t>
            </w:r>
            <w:r w:rsidR="0069327E">
              <w:t>the use of</w:t>
            </w:r>
            <w:r>
              <w:t xml:space="preserve"> manipulation devices at gas pumps</w:t>
            </w:r>
            <w:r w:rsidR="0069327E">
              <w:t xml:space="preserve"> has </w:t>
            </w:r>
            <w:r w:rsidR="00053D73">
              <w:t xml:space="preserve">increasingly </w:t>
            </w:r>
            <w:r w:rsidR="0069327E">
              <w:t>become an issue.</w:t>
            </w:r>
            <w:r>
              <w:t xml:space="preserve"> </w:t>
            </w:r>
            <w:r w:rsidR="0069327E">
              <w:t>C</w:t>
            </w:r>
            <w:r>
              <w:t xml:space="preserve">riminals </w:t>
            </w:r>
            <w:r w:rsidR="0069327E">
              <w:t xml:space="preserve">are </w:t>
            </w:r>
            <w:r>
              <w:t>install</w:t>
            </w:r>
            <w:r w:rsidR="0069327E">
              <w:t xml:space="preserve">ing these </w:t>
            </w:r>
            <w:r w:rsidR="0068551C">
              <w:t xml:space="preserve">manipulation </w:t>
            </w:r>
            <w:r w:rsidR="0069327E">
              <w:t>devices</w:t>
            </w:r>
            <w:r>
              <w:t xml:space="preserve"> </w:t>
            </w:r>
            <w:r w:rsidR="00053D73">
              <w:t>so that the motor fuel metering device is</w:t>
            </w:r>
            <w:r>
              <w:t xml:space="preserve"> no longer accurately </w:t>
            </w:r>
            <w:r w:rsidR="00F82A99">
              <w:t>measur</w:t>
            </w:r>
            <w:r w:rsidR="00053D73">
              <w:t>ing</w:t>
            </w:r>
            <w:r w:rsidR="00F82A99">
              <w:t xml:space="preserve"> </w:t>
            </w:r>
            <w:r w:rsidR="00053D73">
              <w:t>the amount of</w:t>
            </w:r>
            <w:r>
              <w:t xml:space="preserve"> fuel being dispensed. </w:t>
            </w:r>
            <w:r w:rsidR="0069327E">
              <w:t>H.B.</w:t>
            </w:r>
            <w:r w:rsidR="00F1239E">
              <w:t> </w:t>
            </w:r>
            <w:r>
              <w:t xml:space="preserve">2086 seeks to prevent </w:t>
            </w:r>
            <w:r w:rsidR="0069327E">
              <w:t xml:space="preserve">this conduct by creating the second degree felony offense of interference with a motor fuel metering device or motor fuel unattended payment </w:t>
            </w:r>
            <w:r w:rsidR="00F82A99">
              <w:t>terminal</w:t>
            </w:r>
            <w:r w:rsidR="0069327E">
              <w:t>.</w:t>
            </w:r>
          </w:p>
          <w:p w14:paraId="0C285988" w14:textId="77777777" w:rsidR="008423E4" w:rsidRPr="00E26B13" w:rsidRDefault="008423E4" w:rsidP="003D1DF9">
            <w:pPr>
              <w:rPr>
                <w:b/>
              </w:rPr>
            </w:pPr>
          </w:p>
        </w:tc>
      </w:tr>
      <w:tr w:rsidR="00AD0596" w14:paraId="3C178744" w14:textId="77777777" w:rsidTr="00345119">
        <w:tc>
          <w:tcPr>
            <w:tcW w:w="9576" w:type="dxa"/>
          </w:tcPr>
          <w:p w14:paraId="1A2964D0" w14:textId="77777777" w:rsidR="0017725B" w:rsidRDefault="00541BBD" w:rsidP="003D1DF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10D3EE1" w14:textId="77777777" w:rsidR="0017725B" w:rsidRDefault="0017725B" w:rsidP="003D1DF9">
            <w:pPr>
              <w:rPr>
                <w:b/>
                <w:u w:val="single"/>
              </w:rPr>
            </w:pPr>
          </w:p>
          <w:p w14:paraId="39BF6A89" w14:textId="7F66CD20" w:rsidR="008C35EC" w:rsidRPr="008C35EC" w:rsidRDefault="00541BBD" w:rsidP="003D1DF9">
            <w:pPr>
              <w:jc w:val="both"/>
            </w:pPr>
            <w:r>
              <w:t>It is the committee's opinion that this bill expressly does one or more of the following: creates a criminal offense, increases the punishment for an existing criminal offense or category of o</w:t>
            </w:r>
            <w:r>
              <w:t>ffenses, or changes the eligibility of a person for community supervision, parole, or mandatory supervision.</w:t>
            </w:r>
          </w:p>
          <w:p w14:paraId="013DD4C0" w14:textId="77777777" w:rsidR="0017725B" w:rsidRPr="0017725B" w:rsidRDefault="0017725B" w:rsidP="003D1DF9">
            <w:pPr>
              <w:rPr>
                <w:b/>
                <w:u w:val="single"/>
              </w:rPr>
            </w:pPr>
          </w:p>
        </w:tc>
      </w:tr>
      <w:tr w:rsidR="00AD0596" w14:paraId="74A0702F" w14:textId="77777777" w:rsidTr="00345119">
        <w:tc>
          <w:tcPr>
            <w:tcW w:w="9576" w:type="dxa"/>
          </w:tcPr>
          <w:p w14:paraId="6DAD1A69" w14:textId="77777777" w:rsidR="008423E4" w:rsidRPr="00A8133F" w:rsidRDefault="00541BBD" w:rsidP="003D1DF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4DB2A3A" w14:textId="77777777" w:rsidR="008423E4" w:rsidRDefault="008423E4" w:rsidP="003D1DF9"/>
          <w:p w14:paraId="067AB8F9" w14:textId="2D16CB3A" w:rsidR="008C35EC" w:rsidRDefault="00541BBD" w:rsidP="003D1DF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</w:t>
            </w:r>
            <w:r>
              <w:t>officer, department, agency, or institution.</w:t>
            </w:r>
          </w:p>
          <w:p w14:paraId="3769E5C4" w14:textId="77777777" w:rsidR="008423E4" w:rsidRPr="00E21FDC" w:rsidRDefault="008423E4" w:rsidP="003D1DF9">
            <w:pPr>
              <w:rPr>
                <w:b/>
              </w:rPr>
            </w:pPr>
          </w:p>
        </w:tc>
      </w:tr>
      <w:tr w:rsidR="00AD0596" w14:paraId="32FF6342" w14:textId="77777777" w:rsidTr="00345119">
        <w:tc>
          <w:tcPr>
            <w:tcW w:w="9576" w:type="dxa"/>
          </w:tcPr>
          <w:p w14:paraId="49FCAF10" w14:textId="77777777" w:rsidR="008423E4" w:rsidRPr="00A8133F" w:rsidRDefault="00541BBD" w:rsidP="003D1DF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DD4D98B" w14:textId="77777777" w:rsidR="008423E4" w:rsidRDefault="008423E4" w:rsidP="003D1DF9"/>
          <w:p w14:paraId="713EA27D" w14:textId="3AFB8A5B" w:rsidR="0004774C" w:rsidRDefault="00541BBD" w:rsidP="003D1DF9">
            <w:pPr>
              <w:pStyle w:val="Header"/>
              <w:jc w:val="both"/>
            </w:pPr>
            <w:r>
              <w:t>H.B. 208</w:t>
            </w:r>
            <w:r w:rsidR="008660EE">
              <w:t xml:space="preserve">6 </w:t>
            </w:r>
            <w:r w:rsidR="00771610">
              <w:t xml:space="preserve">amends the Penal Code to create </w:t>
            </w:r>
            <w:r w:rsidR="00BA51E1">
              <w:t xml:space="preserve">the </w:t>
            </w:r>
            <w:r w:rsidR="00623126">
              <w:t xml:space="preserve">second degree felony </w:t>
            </w:r>
            <w:r w:rsidR="00534D9C">
              <w:t xml:space="preserve">offense </w:t>
            </w:r>
            <w:r w:rsidR="00BA51E1">
              <w:t>of interference with</w:t>
            </w:r>
            <w:r w:rsidR="00534D9C">
              <w:t xml:space="preserve"> a</w:t>
            </w:r>
            <w:r w:rsidR="00BA51E1">
              <w:t xml:space="preserve"> motor fuel metering device or motor fuel unattended payment terminal </w:t>
            </w:r>
            <w:r w:rsidR="00BA77ED">
              <w:t>for a person</w:t>
            </w:r>
            <w:r w:rsidR="00015B4B">
              <w:t xml:space="preserve"> who does </w:t>
            </w:r>
            <w:r w:rsidR="00BA51E1">
              <w:t xml:space="preserve">any of </w:t>
            </w:r>
            <w:r w:rsidR="00015B4B">
              <w:t>the following</w:t>
            </w:r>
            <w:r w:rsidR="00B076A5">
              <w:t xml:space="preserve">: </w:t>
            </w:r>
          </w:p>
          <w:p w14:paraId="5C47797E" w14:textId="734ADD72" w:rsidR="0004774C" w:rsidRDefault="00541BBD" w:rsidP="003D1DF9">
            <w:pPr>
              <w:pStyle w:val="Header"/>
              <w:numPr>
                <w:ilvl w:val="0"/>
                <w:numId w:val="1"/>
              </w:numPr>
              <w:jc w:val="both"/>
            </w:pPr>
            <w:r>
              <w:t>intentionally intercepts, disrupts, or otherwise interferes with the operation of or attempts to intercept, disrupt, or otherwise interfere w</w:t>
            </w:r>
            <w:r>
              <w:t xml:space="preserve">ith the operation of </w:t>
            </w:r>
            <w:r w:rsidR="00FB46B0">
              <w:t>such a</w:t>
            </w:r>
            <w:r>
              <w:t xml:space="preserve"> device or payment terminal; </w:t>
            </w:r>
          </w:p>
          <w:p w14:paraId="299AA427" w14:textId="159A37AA" w:rsidR="00015B4B" w:rsidRDefault="00541BBD" w:rsidP="003D1DF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intentionally modifies or attempts to modify </w:t>
            </w:r>
            <w:r w:rsidR="00FB46B0">
              <w:t xml:space="preserve">such </w:t>
            </w:r>
            <w:r>
              <w:t>a device or payment terminal;</w:t>
            </w:r>
          </w:p>
          <w:p w14:paraId="2C2167EE" w14:textId="7AF3A73E" w:rsidR="00723854" w:rsidRDefault="00541BBD" w:rsidP="003D1DF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knowingly benefits from any of that aforementioned conduct or from the sale of a motor fuel manipulation device</w:t>
            </w:r>
            <w:r w:rsidR="00643CC8">
              <w:t xml:space="preserve">, defined by the bill as </w:t>
            </w:r>
            <w:r w:rsidR="00643CC8" w:rsidRPr="00643CC8">
              <w:t>a mechanism manufactured, assembled, or adapted to manipulate or alter a motor fuel metering device or a motor fuel unattended payment terminal for an unlawful purpose</w:t>
            </w:r>
            <w:r>
              <w:t>; or</w:t>
            </w:r>
          </w:p>
          <w:p w14:paraId="4200170E" w14:textId="6569CC8B" w:rsidR="00015B4B" w:rsidRDefault="00541BBD" w:rsidP="003D1DF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BA51E1">
              <w:t>intentionally manufactures, assembles, possesses, sells, or attempt</w:t>
            </w:r>
            <w:r w:rsidRPr="00BA51E1">
              <w:t>s to sell a motor fuel manipulation device</w:t>
            </w:r>
            <w:r>
              <w:t xml:space="preserve">. </w:t>
            </w:r>
          </w:p>
          <w:p w14:paraId="7D5AA8EA" w14:textId="77777777" w:rsidR="00BA51E1" w:rsidRDefault="00BA51E1" w:rsidP="003D1DF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84E2465" w14:textId="7063F952" w:rsidR="00BA51E1" w:rsidRDefault="00541BBD" w:rsidP="003D1DF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2086</w:t>
            </w:r>
            <w:r w:rsidR="00100731">
              <w:t xml:space="preserve"> establishes as an affirmative defense to prosecution for </w:t>
            </w:r>
            <w:r w:rsidR="00930590">
              <w:t xml:space="preserve">the intentional </w:t>
            </w:r>
            <w:r w:rsidR="00100731">
              <w:t xml:space="preserve">possession of a motor fuel manipulation device that </w:t>
            </w:r>
            <w:r>
              <w:t xml:space="preserve">the device </w:t>
            </w:r>
            <w:r w:rsidR="00100731">
              <w:t xml:space="preserve">is possessed by </w:t>
            </w:r>
            <w:r>
              <w:t>any of the following:</w:t>
            </w:r>
          </w:p>
          <w:p w14:paraId="085DE5B6" w14:textId="5677620A" w:rsidR="00BA51E1" w:rsidRDefault="00541BBD" w:rsidP="003D1DF9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 </w:t>
            </w:r>
            <w:r w:rsidR="00534D9C">
              <w:t xml:space="preserve">licensed motor fuel metering device </w:t>
            </w:r>
            <w:r>
              <w:t xml:space="preserve">service technician </w:t>
            </w:r>
            <w:r w:rsidR="002917FC">
              <w:t xml:space="preserve">acting in the course and scope of </w:t>
            </w:r>
            <w:r w:rsidR="00930590">
              <w:t>their</w:t>
            </w:r>
            <w:r>
              <w:t xml:space="preserve"> </w:t>
            </w:r>
            <w:r w:rsidR="00E405CD">
              <w:t>employ</w:t>
            </w:r>
            <w:r>
              <w:t>m</w:t>
            </w:r>
            <w:r w:rsidR="00E405CD">
              <w:t>e</w:t>
            </w:r>
            <w:r>
              <w:t>nt</w:t>
            </w:r>
            <w:r w:rsidR="00E405CD">
              <w:t xml:space="preserve">, </w:t>
            </w:r>
            <w:r>
              <w:t>as authorized by the</w:t>
            </w:r>
            <w:r w:rsidR="00930590">
              <w:t>ir</w:t>
            </w:r>
            <w:r>
              <w:t xml:space="preserve"> employer, the Texas Department of Licensing and Regulation (TDLR), </w:t>
            </w:r>
            <w:r w:rsidR="00E405CD">
              <w:t xml:space="preserve">or a law enforcement </w:t>
            </w:r>
            <w:r w:rsidR="00534D9C">
              <w:t>agency;</w:t>
            </w:r>
          </w:p>
          <w:p w14:paraId="30FE7502" w14:textId="3CF8F51F" w:rsidR="00BA51E1" w:rsidRDefault="00541BBD" w:rsidP="003D1DF9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a</w:t>
            </w:r>
            <w:r w:rsidRPr="00BA51E1">
              <w:t xml:space="preserve">n employee or authorized representative of </w:t>
            </w:r>
            <w:r>
              <w:t>TDLR</w:t>
            </w:r>
            <w:r w:rsidRPr="00BA51E1">
              <w:t xml:space="preserve"> assigned to administer or enforce </w:t>
            </w:r>
            <w:r w:rsidR="00534D9C">
              <w:t>Occupations Code provisions regulating motor fuel metering and quality who is</w:t>
            </w:r>
            <w:r w:rsidRPr="00BA51E1">
              <w:t xml:space="preserve"> acting in the course and scope of the</w:t>
            </w:r>
            <w:r w:rsidR="00930590">
              <w:t xml:space="preserve">ir </w:t>
            </w:r>
            <w:r w:rsidRPr="00BA51E1">
              <w:t>official duties</w:t>
            </w:r>
            <w:r w:rsidR="00534D9C">
              <w:t>; or</w:t>
            </w:r>
          </w:p>
          <w:p w14:paraId="220ED453" w14:textId="7F602578" w:rsidR="00996609" w:rsidRDefault="00541BBD" w:rsidP="003D1DF9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a law enforcement officer while</w:t>
            </w:r>
            <w:r w:rsidR="00E405CD">
              <w:t xml:space="preserve"> engaged in the actual discharge of the</w:t>
            </w:r>
            <w:r w:rsidR="00F83536">
              <w:t>ir</w:t>
            </w:r>
            <w:r w:rsidR="00E405CD">
              <w:t xml:space="preserve"> official duties. </w:t>
            </w:r>
          </w:p>
          <w:p w14:paraId="6E099C3D" w14:textId="01BBCFD8" w:rsidR="00E405CD" w:rsidRDefault="00E405CD" w:rsidP="003D1DF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D21325D" w14:textId="1D5B67C7" w:rsidR="00E405CD" w:rsidRDefault="00541BBD" w:rsidP="003D1DF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2086 </w:t>
            </w:r>
            <w:r w:rsidR="00723854">
              <w:t xml:space="preserve">expands </w:t>
            </w:r>
            <w:r w:rsidR="008C35EC">
              <w:t xml:space="preserve">the conduct </w:t>
            </w:r>
            <w:r w:rsidR="00723854">
              <w:t xml:space="preserve">that constitutes the offense of engaging in organized criminal activity to include </w:t>
            </w:r>
            <w:r w:rsidR="00930590">
              <w:t xml:space="preserve">committing or conspiring to commit the offense of interfering with a motor fuel metering device or motor fuel unattended payment terminal </w:t>
            </w:r>
            <w:r w:rsidR="00723854">
              <w:t xml:space="preserve">with </w:t>
            </w:r>
            <w:r w:rsidR="00723854" w:rsidRPr="00723854">
              <w:t>the intent to establish, maintain, or participate in a combination or in the profits of a combination or as a member of a criminal street gang</w:t>
            </w:r>
            <w:r w:rsidR="008C35EC">
              <w:t xml:space="preserve">. </w:t>
            </w:r>
          </w:p>
          <w:p w14:paraId="067C4F13" w14:textId="0F8CE5DC" w:rsidR="008C35EC" w:rsidRDefault="008C35EC" w:rsidP="003D1DF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B5ADCB3" w14:textId="5B283A5B" w:rsidR="008C35EC" w:rsidRPr="009C36CD" w:rsidRDefault="00541BBD" w:rsidP="003D1DF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2086 applies only to an offense committed on or a</w:t>
            </w:r>
            <w:r>
              <w:t xml:space="preserve">fter the bill's effective date. </w:t>
            </w:r>
            <w:r w:rsidR="000F47FA">
              <w:t>The bill provides for the continuation of the law in effect before the bill's effective date for purposes of an offense, or any element thereof, that occurred before that date.</w:t>
            </w:r>
          </w:p>
          <w:p w14:paraId="505A4B16" w14:textId="77777777" w:rsidR="008423E4" w:rsidRPr="00835628" w:rsidRDefault="008423E4" w:rsidP="003D1DF9">
            <w:pPr>
              <w:rPr>
                <w:b/>
              </w:rPr>
            </w:pPr>
          </w:p>
        </w:tc>
      </w:tr>
      <w:tr w:rsidR="00AD0596" w14:paraId="4F3B3D29" w14:textId="77777777" w:rsidTr="00345119">
        <w:tc>
          <w:tcPr>
            <w:tcW w:w="9576" w:type="dxa"/>
          </w:tcPr>
          <w:p w14:paraId="0A8FB3C5" w14:textId="77777777" w:rsidR="008423E4" w:rsidRPr="00A8133F" w:rsidRDefault="00541BBD" w:rsidP="003D1DF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5F04968" w14:textId="77777777" w:rsidR="008423E4" w:rsidRDefault="008423E4" w:rsidP="003D1DF9"/>
          <w:p w14:paraId="2E3D0781" w14:textId="58887918" w:rsidR="008423E4" w:rsidRPr="003624F2" w:rsidRDefault="00541BBD" w:rsidP="003D1DF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7655A8D7" w14:textId="77777777" w:rsidR="008423E4" w:rsidRPr="00233FDB" w:rsidRDefault="008423E4" w:rsidP="003D1DF9">
            <w:pPr>
              <w:rPr>
                <w:b/>
              </w:rPr>
            </w:pPr>
          </w:p>
        </w:tc>
      </w:tr>
    </w:tbl>
    <w:p w14:paraId="383ADE5D" w14:textId="77777777" w:rsidR="004108C3" w:rsidRPr="008423E4" w:rsidRDefault="004108C3" w:rsidP="003D1DF9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2B036" w14:textId="77777777" w:rsidR="00000000" w:rsidRDefault="00541BBD">
      <w:r>
        <w:separator/>
      </w:r>
    </w:p>
  </w:endnote>
  <w:endnote w:type="continuationSeparator" w:id="0">
    <w:p w14:paraId="6E2E3E33" w14:textId="77777777" w:rsidR="00000000" w:rsidRDefault="0054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23A83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D0596" w14:paraId="6BC624AC" w14:textId="77777777" w:rsidTr="009C1E9A">
      <w:trPr>
        <w:cantSplit/>
      </w:trPr>
      <w:tc>
        <w:tcPr>
          <w:tcW w:w="0" w:type="pct"/>
        </w:tcPr>
        <w:p w14:paraId="7F3F4D9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A9062A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02552C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2E6237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1EA7CE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D0596" w14:paraId="18A3C0B8" w14:textId="77777777" w:rsidTr="009C1E9A">
      <w:trPr>
        <w:cantSplit/>
      </w:trPr>
      <w:tc>
        <w:tcPr>
          <w:tcW w:w="0" w:type="pct"/>
        </w:tcPr>
        <w:p w14:paraId="2B79BF4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8AB5304" w14:textId="62652B4E" w:rsidR="00EC379B" w:rsidRPr="009C1E9A" w:rsidRDefault="00541BB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28063-D</w:t>
          </w:r>
        </w:p>
      </w:tc>
      <w:tc>
        <w:tcPr>
          <w:tcW w:w="2453" w:type="pct"/>
        </w:tcPr>
        <w:p w14:paraId="5F9CACF3" w14:textId="70D74C97" w:rsidR="00EC379B" w:rsidRDefault="00541BB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E51D6">
            <w:t>23.122.2209</w:t>
          </w:r>
          <w:r>
            <w:fldChar w:fldCharType="end"/>
          </w:r>
        </w:p>
      </w:tc>
    </w:tr>
    <w:tr w:rsidR="00AD0596" w14:paraId="63A0F007" w14:textId="77777777" w:rsidTr="009C1E9A">
      <w:trPr>
        <w:cantSplit/>
      </w:trPr>
      <w:tc>
        <w:tcPr>
          <w:tcW w:w="0" w:type="pct"/>
        </w:tcPr>
        <w:p w14:paraId="5D250F8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1D1D98D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A93EDD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816F42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D0596" w14:paraId="467515A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0252C6A" w14:textId="77777777" w:rsidR="00EC379B" w:rsidRDefault="00541BB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D25994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4CD572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D8D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7DCA7" w14:textId="77777777" w:rsidR="00000000" w:rsidRDefault="00541BBD">
      <w:r>
        <w:separator/>
      </w:r>
    </w:p>
  </w:footnote>
  <w:footnote w:type="continuationSeparator" w:id="0">
    <w:p w14:paraId="21392DA9" w14:textId="77777777" w:rsidR="00000000" w:rsidRDefault="00541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078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16FD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E7C39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4A94"/>
    <w:multiLevelType w:val="hybridMultilevel"/>
    <w:tmpl w:val="ABF8EB92"/>
    <w:lvl w:ilvl="0" w:tplc="2AA8C9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A68C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F80C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EAEE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4D5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0C5A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5889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44E4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5A8D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E1141"/>
    <w:multiLevelType w:val="hybridMultilevel"/>
    <w:tmpl w:val="38FA4A60"/>
    <w:lvl w:ilvl="0" w:tplc="FF5E84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AEDD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EE68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E3B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74F3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54CA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6B5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5ED8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0EBE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4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B4B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4774C"/>
    <w:rsid w:val="000532BD"/>
    <w:rsid w:val="00053D73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47FA"/>
    <w:rsid w:val="000F5843"/>
    <w:rsid w:val="000F6A06"/>
    <w:rsid w:val="00100731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25DC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617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17FC"/>
    <w:rsid w:val="00296FF0"/>
    <w:rsid w:val="002A17C0"/>
    <w:rsid w:val="002A48DF"/>
    <w:rsid w:val="002A5A84"/>
    <w:rsid w:val="002A6E6F"/>
    <w:rsid w:val="002A74E4"/>
    <w:rsid w:val="002A7B40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51D6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1DF9"/>
    <w:rsid w:val="003D726D"/>
    <w:rsid w:val="003E0875"/>
    <w:rsid w:val="003E0BB8"/>
    <w:rsid w:val="003E17B5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3746"/>
    <w:rsid w:val="00515466"/>
    <w:rsid w:val="005154F7"/>
    <w:rsid w:val="005159DE"/>
    <w:rsid w:val="005269CE"/>
    <w:rsid w:val="005304B2"/>
    <w:rsid w:val="00531FD9"/>
    <w:rsid w:val="005336BD"/>
    <w:rsid w:val="00534A49"/>
    <w:rsid w:val="00534D9C"/>
    <w:rsid w:val="005363BB"/>
    <w:rsid w:val="00541B98"/>
    <w:rsid w:val="00541BBD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3126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3CC8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220"/>
    <w:rsid w:val="00684B98"/>
    <w:rsid w:val="0068551C"/>
    <w:rsid w:val="00685DC9"/>
    <w:rsid w:val="00687465"/>
    <w:rsid w:val="006907CF"/>
    <w:rsid w:val="00691CCF"/>
    <w:rsid w:val="0069327E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2A32"/>
    <w:rsid w:val="006E30A8"/>
    <w:rsid w:val="006E45B0"/>
    <w:rsid w:val="006E4E06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3854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1610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0EE"/>
    <w:rsid w:val="00866F9D"/>
    <w:rsid w:val="008673D9"/>
    <w:rsid w:val="00871775"/>
    <w:rsid w:val="00871AEF"/>
    <w:rsid w:val="008726E5"/>
    <w:rsid w:val="0087289E"/>
    <w:rsid w:val="00874C05"/>
    <w:rsid w:val="0087588B"/>
    <w:rsid w:val="00875AFF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0DBC"/>
    <w:rsid w:val="008B2B1A"/>
    <w:rsid w:val="008B3428"/>
    <w:rsid w:val="008B4A91"/>
    <w:rsid w:val="008B7785"/>
    <w:rsid w:val="008B79F2"/>
    <w:rsid w:val="008C0809"/>
    <w:rsid w:val="008C132C"/>
    <w:rsid w:val="008C35E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590"/>
    <w:rsid w:val="00930897"/>
    <w:rsid w:val="009320D2"/>
    <w:rsid w:val="009329FB"/>
    <w:rsid w:val="00932C77"/>
    <w:rsid w:val="0093417F"/>
    <w:rsid w:val="00934AC2"/>
    <w:rsid w:val="009375BB"/>
    <w:rsid w:val="009418E9"/>
    <w:rsid w:val="009456CD"/>
    <w:rsid w:val="00946044"/>
    <w:rsid w:val="0094653B"/>
    <w:rsid w:val="009465AB"/>
    <w:rsid w:val="00946DEE"/>
    <w:rsid w:val="00953499"/>
    <w:rsid w:val="00954A16"/>
    <w:rsid w:val="0095501D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96609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1A0A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229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0596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1A4"/>
    <w:rsid w:val="00B04E79"/>
    <w:rsid w:val="00B07488"/>
    <w:rsid w:val="00B075A2"/>
    <w:rsid w:val="00B076A5"/>
    <w:rsid w:val="00B10DD2"/>
    <w:rsid w:val="00B115DC"/>
    <w:rsid w:val="00B11952"/>
    <w:rsid w:val="00B149AC"/>
    <w:rsid w:val="00B14BD2"/>
    <w:rsid w:val="00B14E14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51E1"/>
    <w:rsid w:val="00BA77ED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0E0C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5FE1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6746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54EA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5C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1C2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56F7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1D3"/>
    <w:rsid w:val="00EE43A2"/>
    <w:rsid w:val="00EE46B7"/>
    <w:rsid w:val="00EE5A49"/>
    <w:rsid w:val="00EE664B"/>
    <w:rsid w:val="00EE7BB5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39E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36E2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2A99"/>
    <w:rsid w:val="00F83536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46B0"/>
    <w:rsid w:val="00FB73AE"/>
    <w:rsid w:val="00FC0625"/>
    <w:rsid w:val="00FC3CD1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D3FFDB4-C680-4981-AB4B-3D90F432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C35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C35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35E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3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35EC"/>
    <w:rPr>
      <w:b/>
      <w:bCs/>
    </w:rPr>
  </w:style>
  <w:style w:type="character" w:styleId="Hyperlink">
    <w:name w:val="Hyperlink"/>
    <w:basedOn w:val="DefaultParagraphFont"/>
    <w:unhideWhenUsed/>
    <w:rsid w:val="0072385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38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B46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2966</Characters>
  <Application>Microsoft Office Word</Application>
  <DocSecurity>4</DocSecurity>
  <Lines>72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SB01213 (Committee Report (Unamended))</vt:lpstr>
    </vt:vector>
  </TitlesOfParts>
  <Company>State of Texas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28063</dc:subject>
  <dc:creator>State of Texas</dc:creator>
  <dc:description>HB 2086 by Perez-(H)Criminal Jurisprudence</dc:description>
  <cp:lastModifiedBy>Matthew Lee</cp:lastModifiedBy>
  <cp:revision>2</cp:revision>
  <cp:lastPrinted>2003-11-26T17:21:00Z</cp:lastPrinted>
  <dcterms:created xsi:type="dcterms:W3CDTF">2023-05-04T19:33:00Z</dcterms:created>
  <dcterms:modified xsi:type="dcterms:W3CDTF">2023-05-04T19:33:00Z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23.122.2209</vt:lpwstr>
  </property>
</Properties>
</file>