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36254" w14:paraId="36F6382C" w14:textId="77777777" w:rsidTr="00345119">
        <w:tc>
          <w:tcPr>
            <w:tcW w:w="9576" w:type="dxa"/>
            <w:noWrap/>
          </w:tcPr>
          <w:p w14:paraId="3C703035" w14:textId="77777777" w:rsidR="008423E4" w:rsidRPr="0022177D" w:rsidRDefault="00331476" w:rsidP="004F7B20">
            <w:pPr>
              <w:pStyle w:val="Heading1"/>
            </w:pPr>
            <w:r w:rsidRPr="00631897">
              <w:t>BILL ANALYSIS</w:t>
            </w:r>
          </w:p>
        </w:tc>
      </w:tr>
    </w:tbl>
    <w:p w14:paraId="1ED5BE70" w14:textId="77777777" w:rsidR="008423E4" w:rsidRPr="004F7B20" w:rsidRDefault="008423E4" w:rsidP="004F7B20">
      <w:pPr>
        <w:jc w:val="center"/>
        <w:rPr>
          <w:sz w:val="20"/>
          <w:szCs w:val="20"/>
        </w:rPr>
      </w:pPr>
    </w:p>
    <w:p w14:paraId="08F788FC" w14:textId="77777777" w:rsidR="008423E4" w:rsidRPr="004F7B20" w:rsidRDefault="008423E4" w:rsidP="004F7B20">
      <w:pPr>
        <w:rPr>
          <w:sz w:val="20"/>
          <w:szCs w:val="20"/>
        </w:rPr>
      </w:pPr>
    </w:p>
    <w:p w14:paraId="1B4EEB2A" w14:textId="77777777" w:rsidR="008423E4" w:rsidRPr="004F7B20" w:rsidRDefault="008423E4" w:rsidP="004F7B20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36254" w14:paraId="4D7218DF" w14:textId="77777777" w:rsidTr="00345119">
        <w:tc>
          <w:tcPr>
            <w:tcW w:w="9576" w:type="dxa"/>
          </w:tcPr>
          <w:p w14:paraId="3DA065E7" w14:textId="2FD0DA02" w:rsidR="008423E4" w:rsidRPr="00861995" w:rsidRDefault="00331476" w:rsidP="004F7B20">
            <w:pPr>
              <w:jc w:val="right"/>
            </w:pPr>
            <w:r>
              <w:t>H.B. 2095</w:t>
            </w:r>
          </w:p>
        </w:tc>
      </w:tr>
      <w:tr w:rsidR="00736254" w14:paraId="4CFC1660" w14:textId="77777777" w:rsidTr="00345119">
        <w:tc>
          <w:tcPr>
            <w:tcW w:w="9576" w:type="dxa"/>
          </w:tcPr>
          <w:p w14:paraId="2D310791" w14:textId="11BE7C9D" w:rsidR="008423E4" w:rsidRPr="00861995" w:rsidRDefault="00331476" w:rsidP="004F7B20">
            <w:pPr>
              <w:jc w:val="right"/>
            </w:pPr>
            <w:r>
              <w:t xml:space="preserve">By: </w:t>
            </w:r>
            <w:r w:rsidR="0021428C">
              <w:t>Manuel</w:t>
            </w:r>
          </w:p>
        </w:tc>
      </w:tr>
      <w:tr w:rsidR="00736254" w14:paraId="74FB48DA" w14:textId="77777777" w:rsidTr="00345119">
        <w:tc>
          <w:tcPr>
            <w:tcW w:w="9576" w:type="dxa"/>
          </w:tcPr>
          <w:p w14:paraId="7DF32C66" w14:textId="648D55F3" w:rsidR="008423E4" w:rsidRPr="00861995" w:rsidRDefault="00331476" w:rsidP="004F7B20">
            <w:pPr>
              <w:jc w:val="right"/>
            </w:pPr>
            <w:r>
              <w:t>Juvenile Justice &amp; Family Issues</w:t>
            </w:r>
          </w:p>
        </w:tc>
      </w:tr>
      <w:tr w:rsidR="00736254" w14:paraId="54B46264" w14:textId="77777777" w:rsidTr="00345119">
        <w:tc>
          <w:tcPr>
            <w:tcW w:w="9576" w:type="dxa"/>
          </w:tcPr>
          <w:p w14:paraId="6726C083" w14:textId="66D0B8D5" w:rsidR="008423E4" w:rsidRDefault="00331476" w:rsidP="004F7B20">
            <w:pPr>
              <w:jc w:val="right"/>
            </w:pPr>
            <w:r>
              <w:t>Committee Report (Unamended)</w:t>
            </w:r>
          </w:p>
        </w:tc>
      </w:tr>
    </w:tbl>
    <w:p w14:paraId="272F7963" w14:textId="77777777" w:rsidR="008423E4" w:rsidRPr="004F7B20" w:rsidRDefault="008423E4" w:rsidP="004F7B20">
      <w:pPr>
        <w:tabs>
          <w:tab w:val="right" w:pos="9360"/>
        </w:tabs>
        <w:rPr>
          <w:sz w:val="20"/>
          <w:szCs w:val="20"/>
        </w:rPr>
      </w:pPr>
    </w:p>
    <w:p w14:paraId="63508362" w14:textId="77777777" w:rsidR="008423E4" w:rsidRPr="004F7B20" w:rsidRDefault="008423E4" w:rsidP="004F7B20">
      <w:pPr>
        <w:rPr>
          <w:sz w:val="20"/>
          <w:szCs w:val="20"/>
        </w:rPr>
      </w:pPr>
    </w:p>
    <w:p w14:paraId="22CD3E30" w14:textId="77777777" w:rsidR="008423E4" w:rsidRPr="004F7B20" w:rsidRDefault="008423E4" w:rsidP="004F7B20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36254" w14:paraId="3D79BB7A" w14:textId="77777777" w:rsidTr="00345119">
        <w:tc>
          <w:tcPr>
            <w:tcW w:w="9576" w:type="dxa"/>
          </w:tcPr>
          <w:p w14:paraId="36D78D62" w14:textId="77777777" w:rsidR="008423E4" w:rsidRPr="00A8133F" w:rsidRDefault="00331476" w:rsidP="004F7B2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657A932" w14:textId="77777777" w:rsidR="008423E4" w:rsidRDefault="008423E4" w:rsidP="004F7B20"/>
          <w:p w14:paraId="22D0D398" w14:textId="16D1561F" w:rsidR="001E310F" w:rsidRDefault="00331476" w:rsidP="004F7B20">
            <w:pPr>
              <w:pStyle w:val="Header"/>
              <w:jc w:val="both"/>
            </w:pPr>
            <w:r>
              <w:t>There is a need for an applicant for a protective order regarding alleged family violence to</w:t>
            </w:r>
            <w:r>
              <w:t xml:space="preserve"> be properly informed of the restrictions that may be imposed </w:t>
            </w:r>
            <w:r w:rsidR="008D1E0F">
              <w:t>so that the extent of the order may be</w:t>
            </w:r>
            <w:r w:rsidR="000B6B21">
              <w:t xml:space="preserve"> be</w:t>
            </w:r>
            <w:r w:rsidR="008D1E0F">
              <w:t>tter determined.</w:t>
            </w:r>
            <w:r>
              <w:t xml:space="preserve"> </w:t>
            </w:r>
            <w:r w:rsidR="008D1E0F">
              <w:t>H.B. 2095 seeks to address this issue by requiring a court, in certain hearings</w:t>
            </w:r>
            <w:r w:rsidR="00B72123">
              <w:t xml:space="preserve">, </w:t>
            </w:r>
            <w:r w:rsidR="008D1E0F">
              <w:t xml:space="preserve">to </w:t>
            </w:r>
            <w:r w:rsidR="008D1E0F">
              <w:tab/>
              <w:t xml:space="preserve">inform the applicant of applicable restrictions that the court may impose and </w:t>
            </w:r>
            <w:r w:rsidR="008D1E0F">
              <w:tab/>
              <w:t xml:space="preserve">specifically ask the applicant if the applicant wishes the court to include </w:t>
            </w:r>
            <w:r w:rsidR="00B72123">
              <w:t>certain</w:t>
            </w:r>
            <w:r w:rsidR="008D1E0F">
              <w:t xml:space="preserve"> restrictions in the court's order</w:t>
            </w:r>
            <w:r w:rsidR="00B72123">
              <w:t>.</w:t>
            </w:r>
          </w:p>
          <w:p w14:paraId="37E73F72" w14:textId="77777777" w:rsidR="008423E4" w:rsidRPr="00E26B13" w:rsidRDefault="008423E4" w:rsidP="004F7B2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36254" w14:paraId="30BC5BEC" w14:textId="77777777" w:rsidTr="00345119">
        <w:tc>
          <w:tcPr>
            <w:tcW w:w="9576" w:type="dxa"/>
          </w:tcPr>
          <w:p w14:paraId="021A009B" w14:textId="77777777" w:rsidR="0017725B" w:rsidRDefault="00331476" w:rsidP="004F7B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A95E026" w14:textId="77777777" w:rsidR="0017725B" w:rsidRDefault="0017725B" w:rsidP="004F7B20">
            <w:pPr>
              <w:rPr>
                <w:b/>
                <w:u w:val="single"/>
              </w:rPr>
            </w:pPr>
          </w:p>
          <w:p w14:paraId="6791891F" w14:textId="554660F2" w:rsidR="00E653F9" w:rsidRPr="00E653F9" w:rsidRDefault="00331476" w:rsidP="004F7B20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76017397" w14:textId="77777777" w:rsidR="0017725B" w:rsidRPr="0017725B" w:rsidRDefault="0017725B" w:rsidP="004F7B20">
            <w:pPr>
              <w:rPr>
                <w:b/>
                <w:u w:val="single"/>
              </w:rPr>
            </w:pPr>
          </w:p>
        </w:tc>
      </w:tr>
      <w:tr w:rsidR="00736254" w14:paraId="174FCF6B" w14:textId="77777777" w:rsidTr="00345119">
        <w:tc>
          <w:tcPr>
            <w:tcW w:w="9576" w:type="dxa"/>
          </w:tcPr>
          <w:p w14:paraId="451F2E26" w14:textId="77777777" w:rsidR="008423E4" w:rsidRPr="00A8133F" w:rsidRDefault="00331476" w:rsidP="004F7B2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3A313C" w14:textId="77777777" w:rsidR="008423E4" w:rsidRDefault="008423E4" w:rsidP="004F7B20"/>
          <w:p w14:paraId="34F37E2D" w14:textId="7C3C42FC" w:rsidR="00E653F9" w:rsidRDefault="00331476" w:rsidP="004F7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7AE7525E" w14:textId="77777777" w:rsidR="008423E4" w:rsidRPr="00E21FDC" w:rsidRDefault="008423E4" w:rsidP="004F7B20">
            <w:pPr>
              <w:rPr>
                <w:b/>
              </w:rPr>
            </w:pPr>
          </w:p>
        </w:tc>
      </w:tr>
      <w:tr w:rsidR="00736254" w14:paraId="0E9686D7" w14:textId="77777777" w:rsidTr="00345119">
        <w:tc>
          <w:tcPr>
            <w:tcW w:w="9576" w:type="dxa"/>
          </w:tcPr>
          <w:p w14:paraId="6BD50BAB" w14:textId="77777777" w:rsidR="008423E4" w:rsidRPr="00A8133F" w:rsidRDefault="00331476" w:rsidP="004F7B2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72D8A1E" w14:textId="77777777" w:rsidR="008423E4" w:rsidRDefault="008423E4" w:rsidP="004F7B20"/>
          <w:p w14:paraId="15D91C5D" w14:textId="24A8BF2C" w:rsidR="004F0DDE" w:rsidRDefault="00331476" w:rsidP="004F7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2095 amends the Family Code to </w:t>
            </w:r>
            <w:r w:rsidR="005A5AAE">
              <w:t>require</w:t>
            </w:r>
            <w:r w:rsidR="00ED1CD4">
              <w:t xml:space="preserve"> a court</w:t>
            </w:r>
            <w:r w:rsidR="002156D0">
              <w:t>,</w:t>
            </w:r>
            <w:r w:rsidR="00781A0A">
              <w:t xml:space="preserve"> in</w:t>
            </w:r>
            <w:r w:rsidR="00781A0A" w:rsidRPr="00781A0A">
              <w:t xml:space="preserve"> a </w:t>
            </w:r>
            <w:r w:rsidR="001E68B0">
              <w:t xml:space="preserve">hearing on </w:t>
            </w:r>
            <w:r w:rsidR="002156D0">
              <w:t>a</w:t>
            </w:r>
            <w:r w:rsidR="001E68B0">
              <w:t xml:space="preserve"> </w:t>
            </w:r>
            <w:r w:rsidR="00781A0A" w:rsidRPr="00781A0A">
              <w:t xml:space="preserve">protective order application </w:t>
            </w:r>
            <w:r>
              <w:t xml:space="preserve">in which the </w:t>
            </w:r>
            <w:r>
              <w:t>applicant has alleged that family violence has occurred</w:t>
            </w:r>
            <w:r w:rsidR="007D0BEA">
              <w:t>,</w:t>
            </w:r>
            <w:r>
              <w:t xml:space="preserve"> </w:t>
            </w:r>
            <w:r w:rsidR="00ED1CD4">
              <w:t>to</w:t>
            </w:r>
            <w:r>
              <w:t xml:space="preserve"> do the following:</w:t>
            </w:r>
          </w:p>
          <w:p w14:paraId="678086F9" w14:textId="20860AE2" w:rsidR="004F0DDE" w:rsidRDefault="00331476" w:rsidP="004F7B2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D21C5">
              <w:t xml:space="preserve">inform the applicant of the restrictions that the court may impose in a protective order on a person found to have committed family violence, including </w:t>
            </w:r>
            <w:r>
              <w:t xml:space="preserve">by </w:t>
            </w:r>
            <w:r w:rsidRPr="001D21C5">
              <w:t>specifically discussing</w:t>
            </w:r>
            <w:r w:rsidRPr="001D21C5">
              <w:t xml:space="preserve"> with the applicant the restrictions</w:t>
            </w:r>
            <w:r w:rsidR="002156D0">
              <w:t xml:space="preserve"> on the person</w:t>
            </w:r>
            <w:r>
              <w:t xml:space="preserve"> going to or near </w:t>
            </w:r>
            <w:r w:rsidR="00361DB4">
              <w:t>the</w:t>
            </w:r>
            <w:r>
              <w:t xml:space="preserve"> </w:t>
            </w:r>
            <w:r w:rsidR="008A52A6">
              <w:t>residence, place of employment, child-care facility</w:t>
            </w:r>
            <w:r>
              <w:t>,</w:t>
            </w:r>
            <w:r w:rsidR="008A52A6">
              <w:t xml:space="preserve"> or school</w:t>
            </w:r>
            <w:r w:rsidR="00A31582">
              <w:t xml:space="preserve"> of a person or child protected by </w:t>
            </w:r>
            <w:r w:rsidR="00447801">
              <w:t>the</w:t>
            </w:r>
            <w:r w:rsidR="00A31582">
              <w:t xml:space="preserve"> order or of the person's family or household member, as applicable</w:t>
            </w:r>
            <w:r>
              <w:t>; and</w:t>
            </w:r>
          </w:p>
          <w:p w14:paraId="55D05D58" w14:textId="70D352C3" w:rsidR="003868F0" w:rsidRDefault="00331476" w:rsidP="004F7B2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specificall</w:t>
            </w:r>
            <w:r>
              <w:t xml:space="preserve">y </w:t>
            </w:r>
            <w:r w:rsidR="00ED1CD4">
              <w:t>ask the applicant if the applicant wishes the court to include th</w:t>
            </w:r>
            <w:r w:rsidR="00862029">
              <w:t>ose</w:t>
            </w:r>
            <w:r w:rsidR="00ED1CD4">
              <w:t xml:space="preserve"> location restrictions</w:t>
            </w:r>
            <w:r w:rsidR="00781A0A">
              <w:t xml:space="preserve"> </w:t>
            </w:r>
            <w:r w:rsidR="00781A0A" w:rsidRPr="00781A0A">
              <w:t>in the court's order if the court finds that the respondent has committed family violence and that family violence is likely to occur in the future.</w:t>
            </w:r>
            <w:r>
              <w:t xml:space="preserve"> </w:t>
            </w:r>
          </w:p>
          <w:p w14:paraId="23D9CCDD" w14:textId="18BBA089" w:rsidR="001D21C5" w:rsidRDefault="00331476" w:rsidP="004F7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These require</w:t>
            </w:r>
            <w:r>
              <w:t>ments</w:t>
            </w:r>
            <w:r w:rsidR="007E499D">
              <w:t xml:space="preserve"> appl</w:t>
            </w:r>
            <w:r>
              <w:t>y</w:t>
            </w:r>
            <w:r w:rsidR="007E499D">
              <w:t xml:space="preserve"> </w:t>
            </w:r>
            <w:r w:rsidR="007E499D" w:rsidRPr="007E499D">
              <w:t xml:space="preserve">to a hearing on an application for a protective order held on or after the </w:t>
            </w:r>
            <w:r w:rsidR="007E499D">
              <w:t>bill</w:t>
            </w:r>
            <w:r w:rsidR="000B21D3">
              <w:t>'</w:t>
            </w:r>
            <w:r w:rsidR="007E499D">
              <w:t xml:space="preserve">s </w:t>
            </w:r>
            <w:r w:rsidR="007E499D" w:rsidRPr="007E499D">
              <w:t>effective date</w:t>
            </w:r>
            <w:r w:rsidR="007E499D">
              <w:t>.</w:t>
            </w:r>
          </w:p>
          <w:p w14:paraId="6E6398A5" w14:textId="77777777" w:rsidR="001D21C5" w:rsidRDefault="001D21C5" w:rsidP="004F7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49EC549" w14:textId="56CC0064" w:rsidR="008423E4" w:rsidRDefault="00331476" w:rsidP="004F7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2095 requires the court</w:t>
            </w:r>
            <w:r w:rsidR="00A31582">
              <w:t>, in determining whether to include the location restrictions in a protective order applying to a person who committed family violence,</w:t>
            </w:r>
            <w:r>
              <w:t xml:space="preserve"> to consider any wishes expressed by the applicant in response to the court</w:t>
            </w:r>
            <w:r w:rsidR="000B21D3">
              <w:t>'</w:t>
            </w:r>
            <w:r>
              <w:t xml:space="preserve">s </w:t>
            </w:r>
            <w:r w:rsidRPr="001D21C5">
              <w:t xml:space="preserve">question to the applicant regarding the inclusion of </w:t>
            </w:r>
            <w:r w:rsidR="006E3FF7">
              <w:t>the location</w:t>
            </w:r>
            <w:r w:rsidR="006E3FF7" w:rsidRPr="001D21C5">
              <w:t xml:space="preserve"> </w:t>
            </w:r>
            <w:r w:rsidRPr="001D21C5">
              <w:t>restrictions in the court's order.</w:t>
            </w:r>
            <w:r>
              <w:t xml:space="preserve"> </w:t>
            </w:r>
            <w:r w:rsidR="003868F0">
              <w:t>This requirement</w:t>
            </w:r>
            <w:r w:rsidR="007E499D">
              <w:t xml:space="preserve"> applies o</w:t>
            </w:r>
            <w:r w:rsidR="007E499D" w:rsidRPr="007E499D">
              <w:t xml:space="preserve">nly to a protective order for which a hearing is held on or after the </w:t>
            </w:r>
            <w:r w:rsidR="007E499D">
              <w:t>bill</w:t>
            </w:r>
            <w:r w:rsidR="000B21D3">
              <w:t>'</w:t>
            </w:r>
            <w:r w:rsidR="007E499D">
              <w:t xml:space="preserve">s </w:t>
            </w:r>
            <w:r w:rsidR="007E499D" w:rsidRPr="007E499D">
              <w:t>effective date</w:t>
            </w:r>
            <w:r w:rsidR="007E499D">
              <w:t>.</w:t>
            </w:r>
          </w:p>
          <w:p w14:paraId="1D5CDCFD" w14:textId="5A032EA0" w:rsidR="001D21C5" w:rsidRPr="00835628" w:rsidRDefault="001D21C5" w:rsidP="004F7B2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36254" w14:paraId="5252F6D6" w14:textId="77777777" w:rsidTr="00345119">
        <w:tc>
          <w:tcPr>
            <w:tcW w:w="9576" w:type="dxa"/>
          </w:tcPr>
          <w:p w14:paraId="3FBFB109" w14:textId="77777777" w:rsidR="008423E4" w:rsidRPr="00A8133F" w:rsidRDefault="00331476" w:rsidP="004F7B2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7F77253" w14:textId="77777777" w:rsidR="008423E4" w:rsidRDefault="008423E4" w:rsidP="004F7B20"/>
          <w:p w14:paraId="5F04B2FA" w14:textId="39DBC81F" w:rsidR="008423E4" w:rsidRPr="004F7B20" w:rsidRDefault="00331476" w:rsidP="004F7B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151A0825" w14:textId="77777777" w:rsidR="004108C3" w:rsidRPr="004F7B20" w:rsidRDefault="004108C3" w:rsidP="004F7B20">
      <w:pPr>
        <w:rPr>
          <w:sz w:val="12"/>
          <w:szCs w:val="12"/>
        </w:rPr>
      </w:pPr>
    </w:p>
    <w:sectPr w:rsidR="004108C3" w:rsidRPr="004F7B20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FD6E" w14:textId="77777777" w:rsidR="00000000" w:rsidRDefault="00331476">
      <w:r>
        <w:separator/>
      </w:r>
    </w:p>
  </w:endnote>
  <w:endnote w:type="continuationSeparator" w:id="0">
    <w:p w14:paraId="47D44C0E" w14:textId="77777777" w:rsidR="00000000" w:rsidRDefault="0033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166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36254" w14:paraId="06DD8152" w14:textId="77777777" w:rsidTr="009C1E9A">
      <w:trPr>
        <w:cantSplit/>
      </w:trPr>
      <w:tc>
        <w:tcPr>
          <w:tcW w:w="0" w:type="pct"/>
        </w:tcPr>
        <w:p w14:paraId="408F96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8190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81CEB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E364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99E4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6254" w14:paraId="4CAE68EB" w14:textId="77777777" w:rsidTr="009C1E9A">
      <w:trPr>
        <w:cantSplit/>
      </w:trPr>
      <w:tc>
        <w:tcPr>
          <w:tcW w:w="0" w:type="pct"/>
        </w:tcPr>
        <w:p w14:paraId="7AB6D8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8CD820" w14:textId="4868AA86" w:rsidR="00EC379B" w:rsidRPr="009C1E9A" w:rsidRDefault="0033147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24083-D</w:t>
          </w:r>
        </w:p>
      </w:tc>
      <w:tc>
        <w:tcPr>
          <w:tcW w:w="2453" w:type="pct"/>
        </w:tcPr>
        <w:p w14:paraId="5D4C2182" w14:textId="4D7489A3" w:rsidR="00EC379B" w:rsidRDefault="0033147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E7B8F">
            <w:t>23.107.208</w:t>
          </w:r>
          <w:r>
            <w:fldChar w:fldCharType="end"/>
          </w:r>
        </w:p>
      </w:tc>
    </w:tr>
    <w:tr w:rsidR="00736254" w14:paraId="39662135" w14:textId="77777777" w:rsidTr="009C1E9A">
      <w:trPr>
        <w:cantSplit/>
      </w:trPr>
      <w:tc>
        <w:tcPr>
          <w:tcW w:w="0" w:type="pct"/>
        </w:tcPr>
        <w:p w14:paraId="59FBE06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EDCB1E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3A0ABC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5EABD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36254" w14:paraId="5A81817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E14CB04" w14:textId="77777777" w:rsidR="00EC379B" w:rsidRDefault="0033147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EBD2D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5501BF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576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AF10" w14:textId="77777777" w:rsidR="00000000" w:rsidRDefault="00331476">
      <w:r>
        <w:separator/>
      </w:r>
    </w:p>
  </w:footnote>
  <w:footnote w:type="continuationSeparator" w:id="0">
    <w:p w14:paraId="4BBF15AC" w14:textId="77777777" w:rsidR="00000000" w:rsidRDefault="0033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57F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05B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049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0E5B"/>
    <w:multiLevelType w:val="hybridMultilevel"/>
    <w:tmpl w:val="E8326EA4"/>
    <w:lvl w:ilvl="0" w:tplc="724897F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4F256D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DC476D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C0A4F5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B1218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30EBC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B6E6A6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9B0221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AA4C8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921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F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0DF"/>
    <w:rsid w:val="00097AAF"/>
    <w:rsid w:val="00097D13"/>
    <w:rsid w:val="000A4893"/>
    <w:rsid w:val="000A54E0"/>
    <w:rsid w:val="000A72C4"/>
    <w:rsid w:val="000B0F30"/>
    <w:rsid w:val="000B1486"/>
    <w:rsid w:val="000B21D3"/>
    <w:rsid w:val="000B3E61"/>
    <w:rsid w:val="000B54AF"/>
    <w:rsid w:val="000B6090"/>
    <w:rsid w:val="000B6B21"/>
    <w:rsid w:val="000B6FEE"/>
    <w:rsid w:val="000C07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1C5"/>
    <w:rsid w:val="001D2A01"/>
    <w:rsid w:val="001D2EF6"/>
    <w:rsid w:val="001D37A8"/>
    <w:rsid w:val="001D462E"/>
    <w:rsid w:val="001E2CAD"/>
    <w:rsid w:val="001E310F"/>
    <w:rsid w:val="001E34DB"/>
    <w:rsid w:val="001E37CD"/>
    <w:rsid w:val="001E4070"/>
    <w:rsid w:val="001E655E"/>
    <w:rsid w:val="001E68B0"/>
    <w:rsid w:val="001F21D5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28C"/>
    <w:rsid w:val="002156D0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782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476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DB4"/>
    <w:rsid w:val="00361FE9"/>
    <w:rsid w:val="003624F2"/>
    <w:rsid w:val="00363854"/>
    <w:rsid w:val="00364315"/>
    <w:rsid w:val="003643E2"/>
    <w:rsid w:val="00370155"/>
    <w:rsid w:val="003712D5"/>
    <w:rsid w:val="003747DF"/>
    <w:rsid w:val="0037585E"/>
    <w:rsid w:val="00377E3D"/>
    <w:rsid w:val="003847E8"/>
    <w:rsid w:val="003868F0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801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4C7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B8F"/>
    <w:rsid w:val="004F0DDE"/>
    <w:rsid w:val="004F32AD"/>
    <w:rsid w:val="004F57CB"/>
    <w:rsid w:val="004F64F6"/>
    <w:rsid w:val="004F69C0"/>
    <w:rsid w:val="004F7B2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9A4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4C6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AAE"/>
    <w:rsid w:val="005A6D13"/>
    <w:rsid w:val="005B031F"/>
    <w:rsid w:val="005B3298"/>
    <w:rsid w:val="005B3C13"/>
    <w:rsid w:val="005B5516"/>
    <w:rsid w:val="005B57CC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244"/>
    <w:rsid w:val="006E26C1"/>
    <w:rsid w:val="006E30A8"/>
    <w:rsid w:val="006E3FF7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254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66A"/>
    <w:rsid w:val="00764786"/>
    <w:rsid w:val="00766E12"/>
    <w:rsid w:val="0077098E"/>
    <w:rsid w:val="00771287"/>
    <w:rsid w:val="0077149E"/>
    <w:rsid w:val="00777518"/>
    <w:rsid w:val="0077779E"/>
    <w:rsid w:val="00780FB6"/>
    <w:rsid w:val="00781A0A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BEA"/>
    <w:rsid w:val="007D2892"/>
    <w:rsid w:val="007D2DCC"/>
    <w:rsid w:val="007D47E1"/>
    <w:rsid w:val="007D7FCB"/>
    <w:rsid w:val="007E33B6"/>
    <w:rsid w:val="007E499D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029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2A6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E0F"/>
    <w:rsid w:val="008D27A5"/>
    <w:rsid w:val="008D2AAB"/>
    <w:rsid w:val="008D309C"/>
    <w:rsid w:val="008D58F9"/>
    <w:rsid w:val="008D7427"/>
    <w:rsid w:val="008E3338"/>
    <w:rsid w:val="008E47BE"/>
    <w:rsid w:val="008E5003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3C3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574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582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8E1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12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3A6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3F9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1CD4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B4A7FC-65D9-4619-9A78-AFAD1BD2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D21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2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21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21C5"/>
    <w:rPr>
      <w:b/>
      <w:bCs/>
    </w:rPr>
  </w:style>
  <w:style w:type="paragraph" w:styleId="Revision">
    <w:name w:val="Revision"/>
    <w:hidden/>
    <w:uiPriority w:val="99"/>
    <w:semiHidden/>
    <w:rsid w:val="001E6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2175</Characters>
  <Application>Microsoft Office Word</Application>
  <DocSecurity>4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HB02095 (Committee Report (Unamended))</vt:lpstr>
    </vt:vector>
  </TitlesOfParts>
  <Company>State of Texas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24083</dc:subject>
  <dc:creator>State of Texas</dc:creator>
  <dc:description>HB 2095 by Manuel-(H)Juvenile Justice &amp; Family Issues</dc:description>
  <cp:lastModifiedBy>Damian Duarte</cp:lastModifiedBy>
  <cp:revision>2</cp:revision>
  <cp:lastPrinted>2003-11-26T17:21:00Z</cp:lastPrinted>
  <dcterms:created xsi:type="dcterms:W3CDTF">2023-04-21T00:15:00Z</dcterms:created>
  <dcterms:modified xsi:type="dcterms:W3CDTF">2023-04-21T00:15:00Z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23.107.208</vt:lpwstr>
  </property>
</Properties>
</file>