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36C2" w14:paraId="1A1DFCA9" w14:textId="77777777" w:rsidTr="00345119">
        <w:tc>
          <w:tcPr>
            <w:tcW w:w="9576" w:type="dxa"/>
            <w:noWrap/>
          </w:tcPr>
          <w:p w14:paraId="2B028110" w14:textId="77777777" w:rsidR="008423E4" w:rsidRPr="0022177D" w:rsidRDefault="00F626FC" w:rsidP="00EC03BD">
            <w:pPr>
              <w:pStyle w:val="Heading1"/>
            </w:pPr>
            <w:r w:rsidRPr="00631897">
              <w:t>BILL ANALYSIS</w:t>
            </w:r>
          </w:p>
        </w:tc>
      </w:tr>
    </w:tbl>
    <w:p w14:paraId="0B729B91" w14:textId="77777777" w:rsidR="008423E4" w:rsidRPr="0022177D" w:rsidRDefault="008423E4" w:rsidP="00EC03BD">
      <w:pPr>
        <w:jc w:val="center"/>
      </w:pPr>
    </w:p>
    <w:p w14:paraId="46C6B7AF" w14:textId="77777777" w:rsidR="008423E4" w:rsidRPr="00B31F0E" w:rsidRDefault="008423E4" w:rsidP="00EC03BD"/>
    <w:p w14:paraId="50817C48" w14:textId="77777777" w:rsidR="008423E4" w:rsidRPr="00742794" w:rsidRDefault="008423E4" w:rsidP="00EC03B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36C2" w14:paraId="4637868F" w14:textId="77777777" w:rsidTr="00345119">
        <w:tc>
          <w:tcPr>
            <w:tcW w:w="9576" w:type="dxa"/>
          </w:tcPr>
          <w:p w14:paraId="1289A97B" w14:textId="65C3AA75" w:rsidR="008423E4" w:rsidRPr="00861995" w:rsidRDefault="00F626FC" w:rsidP="00EC03BD">
            <w:pPr>
              <w:jc w:val="right"/>
            </w:pPr>
            <w:r>
              <w:t>H.B. 2171</w:t>
            </w:r>
          </w:p>
        </w:tc>
      </w:tr>
      <w:tr w:rsidR="00F836C2" w14:paraId="289AA1F1" w14:textId="77777777" w:rsidTr="00345119">
        <w:tc>
          <w:tcPr>
            <w:tcW w:w="9576" w:type="dxa"/>
          </w:tcPr>
          <w:p w14:paraId="5B32029A" w14:textId="6E9597E2" w:rsidR="008423E4" w:rsidRPr="00861995" w:rsidRDefault="00F626FC" w:rsidP="00EC03BD">
            <w:pPr>
              <w:jc w:val="right"/>
            </w:pPr>
            <w:r>
              <w:t xml:space="preserve">By: </w:t>
            </w:r>
            <w:r w:rsidR="000143BF">
              <w:t>Guerra</w:t>
            </w:r>
          </w:p>
        </w:tc>
      </w:tr>
      <w:tr w:rsidR="00F836C2" w14:paraId="67A46B37" w14:textId="77777777" w:rsidTr="00345119">
        <w:tc>
          <w:tcPr>
            <w:tcW w:w="9576" w:type="dxa"/>
          </w:tcPr>
          <w:p w14:paraId="4F4365C7" w14:textId="66391865" w:rsidR="008423E4" w:rsidRPr="00861995" w:rsidRDefault="00F626FC" w:rsidP="00EC03BD">
            <w:pPr>
              <w:jc w:val="right"/>
            </w:pPr>
            <w:r>
              <w:t>Higher Education</w:t>
            </w:r>
          </w:p>
        </w:tc>
      </w:tr>
      <w:tr w:rsidR="00F836C2" w14:paraId="30B78A04" w14:textId="77777777" w:rsidTr="00345119">
        <w:tc>
          <w:tcPr>
            <w:tcW w:w="9576" w:type="dxa"/>
          </w:tcPr>
          <w:p w14:paraId="29B21AB6" w14:textId="3E7A24A2" w:rsidR="008423E4" w:rsidRDefault="00F626FC" w:rsidP="00EC03BD">
            <w:pPr>
              <w:jc w:val="right"/>
            </w:pPr>
            <w:r>
              <w:t>Committee Report (Unamended)</w:t>
            </w:r>
          </w:p>
        </w:tc>
      </w:tr>
    </w:tbl>
    <w:p w14:paraId="0C368363" w14:textId="77777777" w:rsidR="008423E4" w:rsidRDefault="008423E4" w:rsidP="00EC03BD">
      <w:pPr>
        <w:tabs>
          <w:tab w:val="right" w:pos="9360"/>
        </w:tabs>
      </w:pPr>
    </w:p>
    <w:p w14:paraId="225B2ED4" w14:textId="77777777" w:rsidR="008423E4" w:rsidRDefault="008423E4" w:rsidP="00EC03BD"/>
    <w:p w14:paraId="1F2047E5" w14:textId="77777777" w:rsidR="008423E4" w:rsidRDefault="008423E4" w:rsidP="00EC03B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36C2" w14:paraId="475A20F0" w14:textId="77777777" w:rsidTr="00345119">
        <w:tc>
          <w:tcPr>
            <w:tcW w:w="9576" w:type="dxa"/>
          </w:tcPr>
          <w:p w14:paraId="3472DD9B" w14:textId="77777777" w:rsidR="008423E4" w:rsidRPr="00A8133F" w:rsidRDefault="00F626FC" w:rsidP="00EC03B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AC4CBD" w14:textId="77777777" w:rsidR="008423E4" w:rsidRDefault="008423E4" w:rsidP="00EC03BD"/>
          <w:p w14:paraId="2E08C8CD" w14:textId="38F8AB4D" w:rsidR="008423E4" w:rsidRPr="00CE1DF9" w:rsidRDefault="00F626FC" w:rsidP="00EC03BD">
            <w:pPr>
              <w:pStyle w:val="BodyText"/>
              <w:spacing w:before="0"/>
              <w:ind w:left="63" w:right="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Texas A&amp;M International University </w:t>
            </w:r>
            <w:r w:rsidR="00D06C7F">
              <w:rPr>
                <w:rFonts w:ascii="Times New Roman" w:hAnsi="Times New Roman" w:cs="Times New Roman"/>
              </w:rPr>
              <w:t>indicates that over</w:t>
            </w:r>
            <w:r w:rsidR="000D28A6">
              <w:rPr>
                <w:rFonts w:ascii="Times New Roman" w:hAnsi="Times New Roman" w:cs="Times New Roman"/>
              </w:rPr>
              <w:t xml:space="preserve"> t</w:t>
            </w:r>
            <w:r w:rsidR="00CE1DF9" w:rsidRPr="00CE1DF9">
              <w:rPr>
                <w:rFonts w:ascii="Times New Roman" w:hAnsi="Times New Roman" w:cs="Times New Roman"/>
              </w:rPr>
              <w:t>hree million Texans have limited and inadequate</w:t>
            </w:r>
            <w:r w:rsidR="00CE1DF9" w:rsidRPr="00CE1D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access</w:t>
            </w:r>
            <w:r w:rsidR="00CE1DF9" w:rsidRPr="00CE1D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to</w:t>
            </w:r>
            <w:r w:rsidR="00CE1DF9" w:rsidRPr="00CE1D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affordable,</w:t>
            </w:r>
            <w:r w:rsidR="00CE1DF9" w:rsidRPr="00CE1DF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quality</w:t>
            </w:r>
            <w:r w:rsidR="00CE1DF9" w:rsidRPr="00CE1D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health</w:t>
            </w:r>
            <w:r w:rsidR="00824170">
              <w:rPr>
                <w:rFonts w:ascii="Times New Roman" w:hAnsi="Times New Roman" w:cs="Times New Roman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care.</w:t>
            </w:r>
            <w:r w:rsidR="00CE1DF9" w:rsidRPr="00CE1D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841BA">
              <w:rPr>
                <w:rFonts w:ascii="Times New Roman" w:hAnsi="Times New Roman" w:cs="Times New Roman"/>
                <w:spacing w:val="-6"/>
              </w:rPr>
              <w:t xml:space="preserve">According to the Texas Rural Health Association, </w:t>
            </w:r>
            <w:r w:rsidR="00E841BA">
              <w:rPr>
                <w:rFonts w:ascii="Times New Roman" w:hAnsi="Times New Roman" w:cs="Times New Roman"/>
              </w:rPr>
              <w:t>f</w:t>
            </w:r>
            <w:r w:rsidR="00CE1DF9" w:rsidRPr="00CE1DF9">
              <w:rPr>
                <w:rFonts w:ascii="Times New Roman" w:hAnsi="Times New Roman" w:cs="Times New Roman"/>
              </w:rPr>
              <w:t>ederal</w:t>
            </w:r>
            <w:r w:rsidR="00CE1DF9" w:rsidRPr="00CE1D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authorities</w:t>
            </w:r>
            <w:r w:rsidR="00CE1DF9" w:rsidRPr="00CE1DF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designate 75</w:t>
            </w:r>
            <w:r w:rsidR="00E841BA">
              <w:rPr>
                <w:rFonts w:ascii="Times New Roman" w:hAnsi="Times New Roman" w:cs="Times New Roman"/>
              </w:rPr>
              <w:t xml:space="preserve"> percent</w:t>
            </w:r>
            <w:r w:rsidR="00CE1DF9" w:rsidRPr="00CE1DF9">
              <w:rPr>
                <w:rFonts w:ascii="Times New Roman" w:hAnsi="Times New Roman" w:cs="Times New Roman"/>
              </w:rPr>
              <w:t xml:space="preserve"> of counties in Texas as </w:t>
            </w:r>
            <w:r w:rsidR="00E841BA">
              <w:rPr>
                <w:rFonts w:ascii="Times New Roman" w:hAnsi="Times New Roman" w:cs="Times New Roman"/>
              </w:rPr>
              <w:t>h</w:t>
            </w:r>
            <w:r w:rsidR="00CE1DF9" w:rsidRPr="00CE1DF9">
              <w:rPr>
                <w:rFonts w:ascii="Times New Roman" w:hAnsi="Times New Roman" w:cs="Times New Roman"/>
              </w:rPr>
              <w:t xml:space="preserve">ealth </w:t>
            </w:r>
            <w:r w:rsidR="00E841BA">
              <w:rPr>
                <w:rFonts w:ascii="Times New Roman" w:hAnsi="Times New Roman" w:cs="Times New Roman"/>
              </w:rPr>
              <w:t>p</w:t>
            </w:r>
            <w:r w:rsidR="00CE1DF9" w:rsidRPr="00CE1DF9">
              <w:rPr>
                <w:rFonts w:ascii="Times New Roman" w:hAnsi="Times New Roman" w:cs="Times New Roman"/>
              </w:rPr>
              <w:t xml:space="preserve">rofessional </w:t>
            </w:r>
            <w:r w:rsidR="00E841BA">
              <w:rPr>
                <w:rFonts w:ascii="Times New Roman" w:hAnsi="Times New Roman" w:cs="Times New Roman"/>
              </w:rPr>
              <w:t>s</w:t>
            </w:r>
            <w:r w:rsidR="00CE1DF9" w:rsidRPr="00CE1DF9">
              <w:rPr>
                <w:rFonts w:ascii="Times New Roman" w:hAnsi="Times New Roman" w:cs="Times New Roman"/>
              </w:rPr>
              <w:t xml:space="preserve">hortage </w:t>
            </w:r>
            <w:r w:rsidR="00E841BA">
              <w:rPr>
                <w:rFonts w:ascii="Times New Roman" w:hAnsi="Times New Roman" w:cs="Times New Roman"/>
              </w:rPr>
              <w:t>a</w:t>
            </w:r>
            <w:r w:rsidR="00CE1DF9" w:rsidRPr="00CE1DF9">
              <w:rPr>
                <w:rFonts w:ascii="Times New Roman" w:hAnsi="Times New Roman" w:cs="Times New Roman"/>
              </w:rPr>
              <w:t xml:space="preserve">reas or </w:t>
            </w:r>
            <w:r w:rsidR="00E841BA">
              <w:rPr>
                <w:rFonts w:ascii="Times New Roman" w:hAnsi="Times New Roman" w:cs="Times New Roman"/>
              </w:rPr>
              <w:t>m</w:t>
            </w:r>
            <w:r w:rsidR="00CE1DF9" w:rsidRPr="00CE1DF9">
              <w:rPr>
                <w:rFonts w:ascii="Times New Roman" w:hAnsi="Times New Roman" w:cs="Times New Roman"/>
              </w:rPr>
              <w:t xml:space="preserve">edically </w:t>
            </w:r>
            <w:r w:rsidR="00E841BA">
              <w:rPr>
                <w:rFonts w:ascii="Times New Roman" w:hAnsi="Times New Roman" w:cs="Times New Roman"/>
              </w:rPr>
              <w:t>u</w:t>
            </w:r>
            <w:r w:rsidR="00CE1DF9" w:rsidRPr="00CE1DF9">
              <w:rPr>
                <w:rFonts w:ascii="Times New Roman" w:hAnsi="Times New Roman" w:cs="Times New Roman"/>
              </w:rPr>
              <w:t>nde</w:t>
            </w:r>
            <w:r w:rsidR="00585E01">
              <w:rPr>
                <w:rFonts w:ascii="Times New Roman" w:hAnsi="Times New Roman" w:cs="Times New Roman"/>
              </w:rPr>
              <w:t>r</w:t>
            </w:r>
            <w:r w:rsidR="00CE1DF9" w:rsidRPr="00CE1DF9">
              <w:rPr>
                <w:rFonts w:ascii="Times New Roman" w:hAnsi="Times New Roman" w:cs="Times New Roman"/>
              </w:rPr>
              <w:t xml:space="preserve">served </w:t>
            </w:r>
            <w:r w:rsidR="000D28A6">
              <w:rPr>
                <w:rFonts w:ascii="Times New Roman" w:hAnsi="Times New Roman" w:cs="Times New Roman"/>
              </w:rPr>
              <w:t>a</w:t>
            </w:r>
            <w:r w:rsidR="00CE1DF9" w:rsidRPr="00CE1DF9">
              <w:rPr>
                <w:rFonts w:ascii="Times New Roman" w:hAnsi="Times New Roman" w:cs="Times New Roman"/>
              </w:rPr>
              <w:t xml:space="preserve">reas. </w:t>
            </w:r>
            <w:r w:rsidR="000D28A6">
              <w:rPr>
                <w:rFonts w:ascii="Times New Roman" w:hAnsi="Times New Roman" w:cs="Times New Roman"/>
              </w:rPr>
              <w:t>H.B. 2171 seeks to improve health</w:t>
            </w:r>
            <w:r w:rsidR="00824170">
              <w:rPr>
                <w:rFonts w:ascii="Times New Roman" w:hAnsi="Times New Roman" w:cs="Times New Roman"/>
              </w:rPr>
              <w:t xml:space="preserve"> </w:t>
            </w:r>
            <w:r w:rsidR="000D28A6">
              <w:rPr>
                <w:rFonts w:ascii="Times New Roman" w:hAnsi="Times New Roman" w:cs="Times New Roman"/>
              </w:rPr>
              <w:t>care outcomes and expand health</w:t>
            </w:r>
            <w:r w:rsidR="00824170">
              <w:rPr>
                <w:rFonts w:ascii="Times New Roman" w:hAnsi="Times New Roman" w:cs="Times New Roman"/>
              </w:rPr>
              <w:t xml:space="preserve"> </w:t>
            </w:r>
            <w:r w:rsidR="000D28A6">
              <w:rPr>
                <w:rFonts w:ascii="Times New Roman" w:hAnsi="Times New Roman" w:cs="Times New Roman"/>
              </w:rPr>
              <w:t xml:space="preserve">care systems in underserved rural areas by implementing legislative recommendations from the House Public Health Committee's Interim Report to the 88th Legislature. </w:t>
            </w:r>
            <w:r w:rsidR="00CE1DF9" w:rsidRPr="00CE1DF9">
              <w:rPr>
                <w:rFonts w:ascii="Times New Roman" w:hAnsi="Times New Roman" w:cs="Times New Roman"/>
              </w:rPr>
              <w:t>Th</w:t>
            </w:r>
            <w:r w:rsidR="00352025">
              <w:rPr>
                <w:rFonts w:ascii="Times New Roman" w:hAnsi="Times New Roman" w:cs="Times New Roman"/>
              </w:rPr>
              <w:t>e</w:t>
            </w:r>
            <w:r w:rsidR="00CE1DF9" w:rsidRPr="00CE1DF9">
              <w:rPr>
                <w:rFonts w:ascii="Times New Roman" w:hAnsi="Times New Roman" w:cs="Times New Roman"/>
              </w:rPr>
              <w:t xml:space="preserve"> bill </w:t>
            </w:r>
            <w:r w:rsidR="00352025">
              <w:rPr>
                <w:rFonts w:ascii="Times New Roman" w:hAnsi="Times New Roman" w:cs="Times New Roman"/>
              </w:rPr>
              <w:t xml:space="preserve">provides for the </w:t>
            </w:r>
            <w:r w:rsidR="00CE1DF9" w:rsidRPr="00CE1DF9">
              <w:rPr>
                <w:rFonts w:ascii="Times New Roman" w:hAnsi="Times New Roman" w:cs="Times New Roman"/>
              </w:rPr>
              <w:t>establish</w:t>
            </w:r>
            <w:r w:rsidR="00352025">
              <w:rPr>
                <w:rFonts w:ascii="Times New Roman" w:hAnsi="Times New Roman" w:cs="Times New Roman"/>
              </w:rPr>
              <w:t>ment of</w:t>
            </w:r>
            <w:r w:rsidR="00CE1DF9" w:rsidRPr="00CE1DF9">
              <w:rPr>
                <w:rFonts w:ascii="Times New Roman" w:hAnsi="Times New Roman" w:cs="Times New Roman"/>
              </w:rPr>
              <w:t xml:space="preserve"> the Texas Center for Rural Health Education at</w:t>
            </w:r>
            <w:r w:rsidR="00352025">
              <w:rPr>
                <w:rFonts w:ascii="Times New Roman" w:hAnsi="Times New Roman" w:cs="Times New Roman"/>
              </w:rPr>
              <w:t xml:space="preserve"> The University of Texas Rio Grande Valley, with a</w:t>
            </w:r>
            <w:r w:rsidR="00CE1DF9" w:rsidRPr="00CE1DF9">
              <w:rPr>
                <w:rFonts w:ascii="Times New Roman" w:hAnsi="Times New Roman" w:cs="Times New Roman"/>
              </w:rPr>
              <w:t xml:space="preserve"> mission to develop a plan to improve rural health education and health</w:t>
            </w:r>
            <w:r w:rsidR="00824170">
              <w:rPr>
                <w:rFonts w:ascii="Times New Roman" w:hAnsi="Times New Roman" w:cs="Times New Roman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care outcomes, conduct research regarding rural health education, and develop partnerships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with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50FE">
              <w:rPr>
                <w:rFonts w:ascii="Times New Roman" w:hAnsi="Times New Roman" w:cs="Times New Roman"/>
              </w:rPr>
              <w:t>certain</w:t>
            </w:r>
            <w:r w:rsidR="007450FE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schools</w:t>
            </w:r>
            <w:r w:rsidR="007450FE">
              <w:rPr>
                <w:rFonts w:ascii="Times New Roman" w:hAnsi="Times New Roman" w:cs="Times New Roman"/>
              </w:rPr>
              <w:t xml:space="preserve"> and institutions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to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recruit,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train,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and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retain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health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care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professionals</w:t>
            </w:r>
            <w:r w:rsidR="00CE1DF9" w:rsidRPr="00CE1DF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1DF9" w:rsidRPr="00CE1DF9">
              <w:rPr>
                <w:rFonts w:ascii="Times New Roman" w:hAnsi="Times New Roman" w:cs="Times New Roman"/>
              </w:rPr>
              <w:t>to serve in undeserved rural areas</w:t>
            </w:r>
            <w:r w:rsidR="007450FE">
              <w:rPr>
                <w:rFonts w:ascii="Times New Roman" w:hAnsi="Times New Roman" w:cs="Times New Roman"/>
              </w:rPr>
              <w:t>, among other required actions</w:t>
            </w:r>
            <w:r w:rsidR="00CE1DF9" w:rsidRPr="00CE1DF9">
              <w:rPr>
                <w:rFonts w:ascii="Times New Roman" w:hAnsi="Times New Roman" w:cs="Times New Roman"/>
              </w:rPr>
              <w:t xml:space="preserve">. </w:t>
            </w:r>
          </w:p>
          <w:p w14:paraId="220C27A8" w14:textId="77777777" w:rsidR="008423E4" w:rsidRPr="00E26B13" w:rsidRDefault="008423E4" w:rsidP="00EC03BD">
            <w:pPr>
              <w:rPr>
                <w:b/>
              </w:rPr>
            </w:pPr>
          </w:p>
        </w:tc>
      </w:tr>
      <w:tr w:rsidR="00F836C2" w14:paraId="42C6D399" w14:textId="77777777" w:rsidTr="00345119">
        <w:tc>
          <w:tcPr>
            <w:tcW w:w="9576" w:type="dxa"/>
          </w:tcPr>
          <w:p w14:paraId="67AE66E9" w14:textId="77777777" w:rsidR="0017725B" w:rsidRDefault="00F626FC" w:rsidP="00EC03B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8AEDCAD" w14:textId="77777777" w:rsidR="0017725B" w:rsidRDefault="0017725B" w:rsidP="00EC03BD">
            <w:pPr>
              <w:rPr>
                <w:b/>
                <w:u w:val="single"/>
              </w:rPr>
            </w:pPr>
          </w:p>
          <w:p w14:paraId="2F64E4DA" w14:textId="4CAC51C4" w:rsidR="0082646F" w:rsidRPr="0082646F" w:rsidRDefault="00F626FC" w:rsidP="00EC03BD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64699D5D" w14:textId="77777777" w:rsidR="0017725B" w:rsidRPr="0017725B" w:rsidRDefault="0017725B" w:rsidP="00EC03BD">
            <w:pPr>
              <w:rPr>
                <w:b/>
                <w:u w:val="single"/>
              </w:rPr>
            </w:pPr>
          </w:p>
        </w:tc>
      </w:tr>
      <w:tr w:rsidR="00F836C2" w14:paraId="280EB8C9" w14:textId="77777777" w:rsidTr="00345119">
        <w:tc>
          <w:tcPr>
            <w:tcW w:w="9576" w:type="dxa"/>
          </w:tcPr>
          <w:p w14:paraId="60B0741D" w14:textId="77777777" w:rsidR="008423E4" w:rsidRPr="00A8133F" w:rsidRDefault="00F626FC" w:rsidP="00EC03B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636D13" w14:textId="77777777" w:rsidR="008423E4" w:rsidRDefault="008423E4" w:rsidP="00EC03BD"/>
          <w:p w14:paraId="099A9D1C" w14:textId="7EF5C3AF" w:rsidR="0082646F" w:rsidRDefault="00F626FC" w:rsidP="00EC03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 xml:space="preserve">at rulemaking authority is expressly granted to the </w:t>
            </w:r>
            <w:r w:rsidRPr="0082646F">
              <w:t>board of regents of The University of Texas System</w:t>
            </w:r>
            <w:r>
              <w:t xml:space="preserve"> in SECTION 1 of this bill.</w:t>
            </w:r>
          </w:p>
          <w:p w14:paraId="1D8F9332" w14:textId="77777777" w:rsidR="008423E4" w:rsidRPr="00E21FDC" w:rsidRDefault="008423E4" w:rsidP="00EC03BD">
            <w:pPr>
              <w:rPr>
                <w:b/>
              </w:rPr>
            </w:pPr>
          </w:p>
        </w:tc>
      </w:tr>
      <w:tr w:rsidR="00F836C2" w14:paraId="61D0B391" w14:textId="77777777" w:rsidTr="00345119">
        <w:tc>
          <w:tcPr>
            <w:tcW w:w="9576" w:type="dxa"/>
          </w:tcPr>
          <w:p w14:paraId="57D3C5C5" w14:textId="77777777" w:rsidR="008423E4" w:rsidRPr="00A8133F" w:rsidRDefault="00F626FC" w:rsidP="00EC03B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56ECBB" w14:textId="77777777" w:rsidR="008423E4" w:rsidRDefault="008423E4" w:rsidP="00EC03BD"/>
          <w:p w14:paraId="0BC4BDCB" w14:textId="4C9C7607" w:rsidR="009C36CD" w:rsidRDefault="00F626FC" w:rsidP="00EC03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352025">
              <w:t xml:space="preserve"> 2171</w:t>
            </w:r>
            <w:r>
              <w:t xml:space="preserve"> amends the </w:t>
            </w:r>
            <w:r w:rsidRPr="0082646F">
              <w:t>Education Code</w:t>
            </w:r>
            <w:r w:rsidR="00C037EF">
              <w:t xml:space="preserve"> to</w:t>
            </w:r>
            <w:r w:rsidR="00C8110C">
              <w:t xml:space="preserve"> require the board of regents of </w:t>
            </w:r>
            <w:r w:rsidR="005259F6">
              <w:t>T</w:t>
            </w:r>
            <w:r w:rsidR="00C8110C">
              <w:t xml:space="preserve">he University of Texas System </w:t>
            </w:r>
            <w:r w:rsidR="00771E35">
              <w:t xml:space="preserve">(UT) </w:t>
            </w:r>
            <w:r w:rsidR="00C8110C">
              <w:t>to</w:t>
            </w:r>
            <w:r w:rsidR="00C037EF">
              <w:t xml:space="preserve"> </w:t>
            </w:r>
            <w:r w:rsidR="00C037EF" w:rsidRPr="00C037EF">
              <w:t xml:space="preserve">establish the Texas Center for Rural Health Education at </w:t>
            </w:r>
            <w:r w:rsidR="00352025">
              <w:t>T</w:t>
            </w:r>
            <w:r w:rsidR="00C037EF" w:rsidRPr="00C037EF">
              <w:t>he</w:t>
            </w:r>
            <w:r w:rsidR="00C037EF">
              <w:t xml:space="preserve"> </w:t>
            </w:r>
            <w:r w:rsidR="00C037EF" w:rsidRPr="00C037EF">
              <w:t>University of Texas Rio Grande Valley</w:t>
            </w:r>
            <w:r w:rsidR="00771E35">
              <w:t xml:space="preserve"> (UTRGV)</w:t>
            </w:r>
            <w:r w:rsidR="00352025">
              <w:t>,</w:t>
            </w:r>
            <w:r w:rsidR="00C037EF">
              <w:t xml:space="preserve"> with the </w:t>
            </w:r>
            <w:r w:rsidR="00C037EF" w:rsidRPr="00C037EF">
              <w:t>organization, control, and management of the center vested in the board</w:t>
            </w:r>
            <w:r w:rsidR="00C037EF">
              <w:t xml:space="preserve"> </w:t>
            </w:r>
            <w:r w:rsidR="00C037EF" w:rsidRPr="00C037EF">
              <w:t xml:space="preserve">of regents of </w:t>
            </w:r>
            <w:r w:rsidR="00C8110C">
              <w:t>the UT</w:t>
            </w:r>
            <w:r w:rsidR="00C037EF" w:rsidRPr="00C037EF">
              <w:t xml:space="preserve"> </w:t>
            </w:r>
            <w:r w:rsidR="005948F9">
              <w:t>s</w:t>
            </w:r>
            <w:r w:rsidR="00C037EF" w:rsidRPr="00C037EF">
              <w:t>ystem.</w:t>
            </w:r>
            <w:r w:rsidR="00C037EF">
              <w:t xml:space="preserve"> The bill </w:t>
            </w:r>
            <w:r w:rsidR="00352025">
              <w:t xml:space="preserve">sets out the following </w:t>
            </w:r>
            <w:r w:rsidR="00C037EF">
              <w:t>require</w:t>
            </w:r>
            <w:r w:rsidR="00352025">
              <w:t>ment</w:t>
            </w:r>
            <w:r w:rsidR="00C037EF">
              <w:t xml:space="preserve">s </w:t>
            </w:r>
            <w:r w:rsidR="00352025">
              <w:t xml:space="preserve">for </w:t>
            </w:r>
            <w:r w:rsidR="00C037EF">
              <w:t>the center</w:t>
            </w:r>
            <w:r w:rsidR="00352025">
              <w:t>:</w:t>
            </w:r>
            <w:r w:rsidR="00C037EF">
              <w:t xml:space="preserve"> </w:t>
            </w:r>
          </w:p>
          <w:p w14:paraId="13411345" w14:textId="35469107" w:rsidR="00C037EF" w:rsidRDefault="00F626FC" w:rsidP="00EC03B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perform an initial assessment of rural health education in Texas;</w:t>
            </w:r>
          </w:p>
          <w:p w14:paraId="34E749FD" w14:textId="36A416CD" w:rsidR="00C037EF" w:rsidRDefault="00F626FC" w:rsidP="00EC03B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develop appropriate performance metrics to measure improvement in rural health education and health care outcomes;</w:t>
            </w:r>
          </w:p>
          <w:p w14:paraId="27E2E602" w14:textId="686F4DE4" w:rsidR="00C037EF" w:rsidRDefault="00F626FC" w:rsidP="00EC03B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conduct resea</w:t>
            </w:r>
            <w:r>
              <w:t>rch regarding rural health education, including research to identify best practices in rural health education and underserved rural areas;</w:t>
            </w:r>
          </w:p>
          <w:p w14:paraId="4C2A65DB" w14:textId="601D48FD" w:rsidR="00C037EF" w:rsidRDefault="00F626FC" w:rsidP="00EC03BD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develop recommendations regarding the allocation of funding for tuition and loan repayment programs available to rura</w:t>
            </w:r>
            <w:r>
              <w:t>l health care professionals;</w:t>
            </w:r>
          </w:p>
          <w:p w14:paraId="3737637F" w14:textId="6D62EB9A" w:rsidR="00C037EF" w:rsidRDefault="00F626FC" w:rsidP="00EC03B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develop partnerships between high schools, postsecondary institutions of higher education, and local medical systems to recruit, train, and retain health care professionals to serve in underserved rural areas;</w:t>
            </w:r>
          </w:p>
          <w:p w14:paraId="48BE8EA9" w14:textId="68E4E659" w:rsidR="00C037EF" w:rsidRDefault="00F626FC" w:rsidP="00EC03B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develop a plan to</w:t>
            </w:r>
            <w:r>
              <w:t xml:space="preserve"> improve rural health education and health care outcomes; and</w:t>
            </w:r>
          </w:p>
          <w:p w14:paraId="71F7F57A" w14:textId="1B338865" w:rsidR="00C037EF" w:rsidRDefault="00F626FC" w:rsidP="00EC03B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develop and maintain a website that provides information regarding rural health education research and resources.</w:t>
            </w:r>
          </w:p>
          <w:p w14:paraId="283E34AD" w14:textId="78ADD390" w:rsidR="00482E76" w:rsidRDefault="00F626FC" w:rsidP="00EC03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C037EF">
              <w:t>requires the center</w:t>
            </w:r>
            <w:r w:rsidR="00FB167F">
              <w:t>, not later than December 1 of each even-numbered year,</w:t>
            </w:r>
            <w:r w:rsidR="00C037EF">
              <w:t xml:space="preserve"> to submit</w:t>
            </w:r>
            <w:r w:rsidR="00FB167F">
              <w:t xml:space="preserve"> to the legislature </w:t>
            </w:r>
            <w:r w:rsidR="00704C40">
              <w:t xml:space="preserve">a </w:t>
            </w:r>
            <w:r w:rsidRPr="00482E76">
              <w:t>report on rural health education and health care outcomes in</w:t>
            </w:r>
            <w:r>
              <w:t xml:space="preserve"> Texas that includes a summary of the center's required activities and </w:t>
            </w:r>
            <w:r w:rsidR="00991B0A">
              <w:t xml:space="preserve">any </w:t>
            </w:r>
            <w:r>
              <w:t xml:space="preserve">recommendations for legislative or other action. </w:t>
            </w:r>
            <w:r w:rsidR="003A61B5">
              <w:t>The bill requires the center to submit t</w:t>
            </w:r>
            <w:r w:rsidR="00704C40">
              <w:t>he first biennial report not later than December 1, 2024.</w:t>
            </w:r>
          </w:p>
          <w:p w14:paraId="6ACCB923" w14:textId="77777777" w:rsidR="00482E76" w:rsidRDefault="00482E76" w:rsidP="00EC03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C3D1879" w14:textId="684BD4DD" w:rsidR="00482E76" w:rsidRDefault="00F626FC" w:rsidP="00EC03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82E76">
              <w:t>H.B. 2171</w:t>
            </w:r>
            <w:r>
              <w:t xml:space="preserve"> requires </w:t>
            </w:r>
            <w:r w:rsidR="00771E35">
              <w:t xml:space="preserve">UTRGV </w:t>
            </w:r>
            <w:r>
              <w:t xml:space="preserve">to encourage public or private entities to participate in or support the operation of the center and authorizes the center to </w:t>
            </w:r>
            <w:r w:rsidRPr="00482E76">
              <w:t>enter into an agreement with any public or private entity for that purpose</w:t>
            </w:r>
            <w:r w:rsidR="00991B0A">
              <w:t>. Such an agreement may</w:t>
            </w:r>
            <w:r>
              <w:t xml:space="preserve"> </w:t>
            </w:r>
            <w:r w:rsidRPr="00482E76">
              <w:t>allow the center to provide info</w:t>
            </w:r>
            <w:r w:rsidRPr="00482E76">
              <w:t>rmation, services, or other assistance to an entity in exchange for the entity's participation or support.</w:t>
            </w:r>
            <w:r>
              <w:t xml:space="preserve"> </w:t>
            </w:r>
          </w:p>
          <w:p w14:paraId="13394D7A" w14:textId="185E0B0D" w:rsidR="00482E76" w:rsidRDefault="00482E76" w:rsidP="00EC03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3E5EAD" w14:textId="357EBB8A" w:rsidR="00704C40" w:rsidRPr="00704C40" w:rsidRDefault="00F626FC" w:rsidP="00EC03BD">
            <w:pPr>
              <w:pStyle w:val="Header"/>
              <w:jc w:val="both"/>
              <w:rPr>
                <w:b/>
                <w:bCs/>
              </w:rPr>
            </w:pPr>
            <w:r>
              <w:t>H.B. 2171 authorizes the board of regents</w:t>
            </w:r>
            <w:r w:rsidR="003A61B5">
              <w:t xml:space="preserve"> </w:t>
            </w:r>
            <w:r w:rsidR="00C8110C">
              <w:t xml:space="preserve">of the UT </w:t>
            </w:r>
            <w:r w:rsidR="005948F9">
              <w:t>s</w:t>
            </w:r>
            <w:r w:rsidR="00C8110C">
              <w:t xml:space="preserve">ystem </w:t>
            </w:r>
            <w:r w:rsidR="003A61B5">
              <w:t>to employ personnel as necessary for the center and</w:t>
            </w:r>
            <w:r>
              <w:t xml:space="preserve"> to solicit, accept, and administer g</w:t>
            </w:r>
            <w:r>
              <w:t xml:space="preserve">ifts and grants from any public or private source for the purposes of the center. The bill authorizes the board </w:t>
            </w:r>
            <w:r w:rsidR="00771E35">
              <w:t xml:space="preserve">of regents of the UT </w:t>
            </w:r>
            <w:r w:rsidR="005948F9">
              <w:t>s</w:t>
            </w:r>
            <w:r w:rsidR="00771E35">
              <w:t xml:space="preserve">ystem </w:t>
            </w:r>
            <w:r>
              <w:t>to</w:t>
            </w:r>
            <w:r w:rsidRPr="00704C40">
              <w:t xml:space="preserve"> adopt rules as necessary</w:t>
            </w:r>
            <w:r>
              <w:t xml:space="preserve"> </w:t>
            </w:r>
            <w:r w:rsidRPr="00704C40">
              <w:t>to implement th</w:t>
            </w:r>
            <w:r w:rsidR="00D37036">
              <w:t>e</w:t>
            </w:r>
            <w:r w:rsidRPr="00704C40">
              <w:t xml:space="preserve"> </w:t>
            </w:r>
            <w:r w:rsidR="003A61B5">
              <w:t>bill's provisions</w:t>
            </w:r>
            <w:r w:rsidR="00326F38">
              <w:t>.</w:t>
            </w:r>
          </w:p>
          <w:p w14:paraId="15B1D1F7" w14:textId="77777777" w:rsidR="008423E4" w:rsidRPr="00835628" w:rsidRDefault="008423E4" w:rsidP="00EC03BD">
            <w:pPr>
              <w:rPr>
                <w:b/>
              </w:rPr>
            </w:pPr>
          </w:p>
        </w:tc>
      </w:tr>
      <w:tr w:rsidR="00F836C2" w14:paraId="2F0479E5" w14:textId="77777777" w:rsidTr="00345119">
        <w:tc>
          <w:tcPr>
            <w:tcW w:w="9576" w:type="dxa"/>
          </w:tcPr>
          <w:p w14:paraId="1E859C6B" w14:textId="77777777" w:rsidR="008423E4" w:rsidRPr="00A8133F" w:rsidRDefault="00F626FC" w:rsidP="00EC03B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CE6714" w14:textId="77777777" w:rsidR="008423E4" w:rsidRDefault="008423E4" w:rsidP="00EC03BD"/>
          <w:p w14:paraId="37551234" w14:textId="30917895" w:rsidR="008423E4" w:rsidRPr="003624F2" w:rsidRDefault="00F626FC" w:rsidP="00EC03B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5A8279C" w14:textId="77777777" w:rsidR="008423E4" w:rsidRPr="00233FDB" w:rsidRDefault="008423E4" w:rsidP="00EC03BD">
            <w:pPr>
              <w:rPr>
                <w:b/>
              </w:rPr>
            </w:pPr>
          </w:p>
        </w:tc>
      </w:tr>
    </w:tbl>
    <w:p w14:paraId="59C50115" w14:textId="77777777" w:rsidR="008423E4" w:rsidRPr="00BE0E75" w:rsidRDefault="008423E4" w:rsidP="00EC03BD">
      <w:pPr>
        <w:jc w:val="both"/>
        <w:rPr>
          <w:rFonts w:ascii="Arial" w:hAnsi="Arial"/>
          <w:sz w:val="16"/>
          <w:szCs w:val="16"/>
        </w:rPr>
      </w:pPr>
    </w:p>
    <w:p w14:paraId="75C779FD" w14:textId="77777777" w:rsidR="004108C3" w:rsidRPr="008423E4" w:rsidRDefault="004108C3" w:rsidP="00EC03B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A305" w14:textId="77777777" w:rsidR="00000000" w:rsidRDefault="00F626FC">
      <w:r>
        <w:separator/>
      </w:r>
    </w:p>
  </w:endnote>
  <w:endnote w:type="continuationSeparator" w:id="0">
    <w:p w14:paraId="35257358" w14:textId="77777777" w:rsidR="00000000" w:rsidRDefault="00F6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5A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36C2" w14:paraId="176995D2" w14:textId="77777777" w:rsidTr="009C1E9A">
      <w:trPr>
        <w:cantSplit/>
      </w:trPr>
      <w:tc>
        <w:tcPr>
          <w:tcW w:w="0" w:type="pct"/>
        </w:tcPr>
        <w:p w14:paraId="1F38FE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8D26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18542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6170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1298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36C2" w14:paraId="0AF9E5FF" w14:textId="77777777" w:rsidTr="009C1E9A">
      <w:trPr>
        <w:cantSplit/>
      </w:trPr>
      <w:tc>
        <w:tcPr>
          <w:tcW w:w="0" w:type="pct"/>
        </w:tcPr>
        <w:p w14:paraId="48A556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F75BF0" w14:textId="4341D7E0" w:rsidR="00EC379B" w:rsidRPr="009C1E9A" w:rsidRDefault="00F626F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28107-D</w:t>
          </w:r>
        </w:p>
      </w:tc>
      <w:tc>
        <w:tcPr>
          <w:tcW w:w="2453" w:type="pct"/>
        </w:tcPr>
        <w:p w14:paraId="718EB670" w14:textId="72314694" w:rsidR="00EC379B" w:rsidRDefault="00F626F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C03BD">
            <w:t>23.124.2121</w:t>
          </w:r>
          <w:r>
            <w:fldChar w:fldCharType="end"/>
          </w:r>
        </w:p>
      </w:tc>
    </w:tr>
    <w:tr w:rsidR="00F836C2" w14:paraId="0113E8F2" w14:textId="77777777" w:rsidTr="009C1E9A">
      <w:trPr>
        <w:cantSplit/>
      </w:trPr>
      <w:tc>
        <w:tcPr>
          <w:tcW w:w="0" w:type="pct"/>
        </w:tcPr>
        <w:p w14:paraId="2FF90C2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53131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E0F85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81C29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36C2" w14:paraId="10675F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DC44C3" w14:textId="77777777" w:rsidR="00EC379B" w:rsidRDefault="00F626F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46EF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CB77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C4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4575" w14:textId="77777777" w:rsidR="00000000" w:rsidRDefault="00F626FC">
      <w:r>
        <w:separator/>
      </w:r>
    </w:p>
  </w:footnote>
  <w:footnote w:type="continuationSeparator" w:id="0">
    <w:p w14:paraId="5410ED05" w14:textId="77777777" w:rsidR="00000000" w:rsidRDefault="00F6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5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762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A86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2CD"/>
    <w:multiLevelType w:val="hybridMultilevel"/>
    <w:tmpl w:val="94783134"/>
    <w:lvl w:ilvl="0" w:tplc="3B50B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CC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23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CB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C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4B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88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69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27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B3C76"/>
    <w:multiLevelType w:val="hybridMultilevel"/>
    <w:tmpl w:val="74488EB0"/>
    <w:lvl w:ilvl="0" w:tplc="13F04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E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8F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A6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6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00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E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8F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27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5091">
    <w:abstractNumId w:val="0"/>
  </w:num>
  <w:num w:numId="2" w16cid:durableId="133799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6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3BF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8A6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F4A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D3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F3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025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1B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816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B2A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E76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1EC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59F6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E01"/>
    <w:rsid w:val="005878B7"/>
    <w:rsid w:val="00592C9A"/>
    <w:rsid w:val="00593DF8"/>
    <w:rsid w:val="005948F9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E36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C4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0FE"/>
    <w:rsid w:val="007509BE"/>
    <w:rsid w:val="0075287B"/>
    <w:rsid w:val="00755C7B"/>
    <w:rsid w:val="00764786"/>
    <w:rsid w:val="00766E12"/>
    <w:rsid w:val="0077098E"/>
    <w:rsid w:val="00771287"/>
    <w:rsid w:val="0077149E"/>
    <w:rsid w:val="00771E3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B4C"/>
    <w:rsid w:val="00823E4C"/>
    <w:rsid w:val="00824170"/>
    <w:rsid w:val="0082646F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B0A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765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A16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F5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7EF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10C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DF9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C7F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036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AB9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1BA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3B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6FC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6C2"/>
    <w:rsid w:val="00F84153"/>
    <w:rsid w:val="00F85661"/>
    <w:rsid w:val="00F96602"/>
    <w:rsid w:val="00F9735A"/>
    <w:rsid w:val="00FA32FC"/>
    <w:rsid w:val="00FA59FD"/>
    <w:rsid w:val="00FA5D8C"/>
    <w:rsid w:val="00FA6403"/>
    <w:rsid w:val="00FB167F"/>
    <w:rsid w:val="00FB16CD"/>
    <w:rsid w:val="00FB73AE"/>
    <w:rsid w:val="00FC46C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129DAA-639B-43EF-80BC-07E3E6EE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64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6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64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646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E1DF9"/>
    <w:pPr>
      <w:widowControl w:val="0"/>
      <w:autoSpaceDE w:val="0"/>
      <w:autoSpaceDN w:val="0"/>
      <w:spacing w:before="116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E1DF9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E841BA"/>
    <w:rPr>
      <w:sz w:val="24"/>
      <w:szCs w:val="24"/>
    </w:rPr>
  </w:style>
  <w:style w:type="character" w:styleId="Hyperlink">
    <w:name w:val="Hyperlink"/>
    <w:basedOn w:val="DefaultParagraphFont"/>
    <w:unhideWhenUsed/>
    <w:rsid w:val="000D28A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6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3444</Characters>
  <Application>Microsoft Office Word</Application>
  <DocSecurity>4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HB02171 (Committee Report (Unamended))</vt:lpstr>
    </vt:vector>
  </TitlesOfParts>
  <Company>State of Texas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28107</dc:subject>
  <dc:creator>State of Texas</dc:creator>
  <dc:description>HB 2171 by Guerra-(H)Higher Education</dc:description>
  <cp:lastModifiedBy>Stacey Nicchio</cp:lastModifiedBy>
  <cp:revision>2</cp:revision>
  <cp:lastPrinted>2003-11-26T17:21:00Z</cp:lastPrinted>
  <dcterms:created xsi:type="dcterms:W3CDTF">2023-05-05T16:48:00Z</dcterms:created>
  <dcterms:modified xsi:type="dcterms:W3CDTF">2023-05-05T16:48:00Z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23.124.2121</vt:lpwstr>
  </property>
</Properties>
</file>