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9412B" w14:paraId="5D0AA536" w14:textId="77777777" w:rsidTr="00345119">
        <w:tc>
          <w:tcPr>
            <w:tcW w:w="9576" w:type="dxa"/>
            <w:noWrap/>
          </w:tcPr>
          <w:p w14:paraId="1BDBDF1A" w14:textId="77777777" w:rsidR="008423E4" w:rsidRPr="0022177D" w:rsidRDefault="000E70CF" w:rsidP="00851123">
            <w:pPr>
              <w:pStyle w:val="Heading1"/>
            </w:pPr>
            <w:r w:rsidRPr="00631897">
              <w:t>BILL ANALYSIS</w:t>
            </w:r>
          </w:p>
        </w:tc>
      </w:tr>
    </w:tbl>
    <w:p w14:paraId="7C70EE5E" w14:textId="77777777" w:rsidR="008423E4" w:rsidRPr="001C304E" w:rsidRDefault="008423E4" w:rsidP="00851123">
      <w:pPr>
        <w:jc w:val="center"/>
        <w:rPr>
          <w:sz w:val="20"/>
          <w:szCs w:val="20"/>
        </w:rPr>
      </w:pPr>
    </w:p>
    <w:p w14:paraId="13757F9E" w14:textId="77777777" w:rsidR="008423E4" w:rsidRPr="001C304E" w:rsidRDefault="008423E4" w:rsidP="00851123">
      <w:pPr>
        <w:rPr>
          <w:sz w:val="20"/>
          <w:szCs w:val="20"/>
        </w:rPr>
      </w:pPr>
    </w:p>
    <w:p w14:paraId="1DAD806E" w14:textId="77777777" w:rsidR="008423E4" w:rsidRPr="001C304E" w:rsidRDefault="008423E4" w:rsidP="00851123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9412B" w14:paraId="30E670C8" w14:textId="77777777" w:rsidTr="00345119">
        <w:tc>
          <w:tcPr>
            <w:tcW w:w="9576" w:type="dxa"/>
          </w:tcPr>
          <w:p w14:paraId="2424BFFF" w14:textId="23097800" w:rsidR="008423E4" w:rsidRPr="00861995" w:rsidRDefault="000E70CF" w:rsidP="00851123">
            <w:pPr>
              <w:jc w:val="right"/>
            </w:pPr>
            <w:r>
              <w:t>C.S.H.B. 2177</w:t>
            </w:r>
          </w:p>
        </w:tc>
      </w:tr>
      <w:tr w:rsidR="0009412B" w14:paraId="66256599" w14:textId="77777777" w:rsidTr="00345119">
        <w:tc>
          <w:tcPr>
            <w:tcW w:w="9576" w:type="dxa"/>
          </w:tcPr>
          <w:p w14:paraId="138165A7" w14:textId="453D9548" w:rsidR="008423E4" w:rsidRPr="00861995" w:rsidRDefault="000E70CF" w:rsidP="00851123">
            <w:pPr>
              <w:jc w:val="right"/>
            </w:pPr>
            <w:r>
              <w:t xml:space="preserve">By: </w:t>
            </w:r>
            <w:r w:rsidR="00800F3C">
              <w:t>Stucky</w:t>
            </w:r>
          </w:p>
        </w:tc>
      </w:tr>
      <w:tr w:rsidR="0009412B" w14:paraId="72906203" w14:textId="77777777" w:rsidTr="00345119">
        <w:tc>
          <w:tcPr>
            <w:tcW w:w="9576" w:type="dxa"/>
          </w:tcPr>
          <w:p w14:paraId="43B785AF" w14:textId="41336579" w:rsidR="008423E4" w:rsidRPr="00861995" w:rsidRDefault="000E70CF" w:rsidP="00851123">
            <w:pPr>
              <w:jc w:val="right"/>
            </w:pPr>
            <w:r>
              <w:t>Higher Education</w:t>
            </w:r>
          </w:p>
        </w:tc>
      </w:tr>
      <w:tr w:rsidR="0009412B" w14:paraId="179E69C0" w14:textId="77777777" w:rsidTr="00345119">
        <w:tc>
          <w:tcPr>
            <w:tcW w:w="9576" w:type="dxa"/>
          </w:tcPr>
          <w:p w14:paraId="280D0C52" w14:textId="01AEDB72" w:rsidR="008423E4" w:rsidRDefault="000E70CF" w:rsidP="00851123">
            <w:pPr>
              <w:jc w:val="right"/>
            </w:pPr>
            <w:r>
              <w:t>Committee Report (Substituted)</w:t>
            </w:r>
          </w:p>
        </w:tc>
      </w:tr>
    </w:tbl>
    <w:p w14:paraId="334BBAED" w14:textId="77777777" w:rsidR="008423E4" w:rsidRPr="001C304E" w:rsidRDefault="008423E4" w:rsidP="00851123">
      <w:pPr>
        <w:tabs>
          <w:tab w:val="right" w:pos="9360"/>
        </w:tabs>
        <w:rPr>
          <w:sz w:val="20"/>
          <w:szCs w:val="20"/>
        </w:rPr>
      </w:pPr>
    </w:p>
    <w:p w14:paraId="7B4ED735" w14:textId="77777777" w:rsidR="008423E4" w:rsidRPr="001C304E" w:rsidRDefault="008423E4" w:rsidP="00851123">
      <w:pPr>
        <w:rPr>
          <w:sz w:val="20"/>
          <w:szCs w:val="20"/>
        </w:rPr>
      </w:pPr>
    </w:p>
    <w:p w14:paraId="1AA3068A" w14:textId="77777777" w:rsidR="008423E4" w:rsidRPr="001C304E" w:rsidRDefault="008423E4" w:rsidP="00851123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9412B" w14:paraId="74F897A4" w14:textId="77777777" w:rsidTr="00345119">
        <w:tc>
          <w:tcPr>
            <w:tcW w:w="9576" w:type="dxa"/>
          </w:tcPr>
          <w:p w14:paraId="7B3EA064" w14:textId="77777777" w:rsidR="008423E4" w:rsidRPr="00A8133F" w:rsidRDefault="000E70CF" w:rsidP="0085112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C9C0860" w14:textId="77777777" w:rsidR="008423E4" w:rsidRPr="001C304E" w:rsidRDefault="008423E4" w:rsidP="00851123">
            <w:pPr>
              <w:rPr>
                <w:sz w:val="20"/>
                <w:szCs w:val="20"/>
              </w:rPr>
            </w:pPr>
          </w:p>
          <w:p w14:paraId="2D2AC37A" w14:textId="77777777" w:rsidR="008423E4" w:rsidRDefault="000E70CF" w:rsidP="008511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21AA9">
              <w:t xml:space="preserve">Rising costs at universities are creating challenges for college students who continue to seek opportunities for cost savings. </w:t>
            </w:r>
            <w:r w:rsidR="009465B6">
              <w:t>One potential solution</w:t>
            </w:r>
            <w:r w:rsidR="00114636">
              <w:t xml:space="preserve"> to this issue</w:t>
            </w:r>
            <w:r w:rsidR="009465B6">
              <w:t xml:space="preserve"> is through</w:t>
            </w:r>
            <w:r w:rsidRPr="00F21AA9">
              <w:t xml:space="preserve"> innovation and cost-saving measures related to </w:t>
            </w:r>
            <w:r w:rsidR="00114636">
              <w:t>course materials</w:t>
            </w:r>
            <w:r w:rsidR="009465B6">
              <w:t xml:space="preserve">, including through collaboration between publishers, </w:t>
            </w:r>
            <w:r w:rsidR="007A741E">
              <w:t xml:space="preserve">campus </w:t>
            </w:r>
            <w:r w:rsidR="009465B6">
              <w:t xml:space="preserve">book stores, and other industry </w:t>
            </w:r>
            <w:r w:rsidR="007A741E">
              <w:t>representative</w:t>
            </w:r>
            <w:r w:rsidR="00114636">
              <w:t>s</w:t>
            </w:r>
            <w:r w:rsidR="007A741E">
              <w:t>.</w:t>
            </w:r>
            <w:r>
              <w:t xml:space="preserve"> </w:t>
            </w:r>
            <w:r w:rsidR="009465B6">
              <w:t>C.S.H.B.</w:t>
            </w:r>
            <w:r w:rsidR="00BC0F4E">
              <w:t> </w:t>
            </w:r>
            <w:r w:rsidR="009465B6">
              <w:t>2177</w:t>
            </w:r>
            <w:r w:rsidRPr="00F21AA9">
              <w:t xml:space="preserve"> seeks to </w:t>
            </w:r>
            <w:r w:rsidR="00114636">
              <w:t>provide</w:t>
            </w:r>
            <w:r w:rsidR="009465B6">
              <w:t xml:space="preserve"> for the establishment of</w:t>
            </w:r>
            <w:r w:rsidR="009465B6" w:rsidRPr="00F21AA9">
              <w:t xml:space="preserve"> </w:t>
            </w:r>
            <w:r w:rsidRPr="00F21AA9">
              <w:t xml:space="preserve">a pilot program to </w:t>
            </w:r>
            <w:r w:rsidR="009465B6">
              <w:t xml:space="preserve">award grants </w:t>
            </w:r>
            <w:r w:rsidR="007A741E">
              <w:t>for the purposes of</w:t>
            </w:r>
            <w:r w:rsidR="009465B6">
              <w:t xml:space="preserve"> provid</w:t>
            </w:r>
            <w:r w:rsidR="007A741E">
              <w:t>ing</w:t>
            </w:r>
            <w:r w:rsidR="009465B6">
              <w:t xml:space="preserve"> financial </w:t>
            </w:r>
            <w:r w:rsidR="007A741E">
              <w:t xml:space="preserve">assistance to eligible students for the cost of accessing digital course materials. </w:t>
            </w:r>
          </w:p>
          <w:p w14:paraId="2EF7D6CF" w14:textId="0A95BAC5" w:rsidR="001C304E" w:rsidRPr="00E26B13" w:rsidRDefault="001C304E" w:rsidP="008511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9412B" w14:paraId="19C0E84C" w14:textId="77777777" w:rsidTr="00345119">
        <w:tc>
          <w:tcPr>
            <w:tcW w:w="9576" w:type="dxa"/>
          </w:tcPr>
          <w:p w14:paraId="7FDE639D" w14:textId="77777777" w:rsidR="0017725B" w:rsidRDefault="000E70CF" w:rsidP="008511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A073C0" w14:textId="77777777" w:rsidR="0017725B" w:rsidRPr="001C304E" w:rsidRDefault="0017725B" w:rsidP="00851123">
            <w:pPr>
              <w:rPr>
                <w:bCs/>
                <w:sz w:val="20"/>
                <w:szCs w:val="20"/>
              </w:rPr>
            </w:pPr>
          </w:p>
          <w:p w14:paraId="765FE644" w14:textId="5811B7C9" w:rsidR="00D736A9" w:rsidRPr="00D736A9" w:rsidRDefault="000E70CF" w:rsidP="0085112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3C0EAAF2" w14:textId="77777777" w:rsidR="0017725B" w:rsidRPr="0017725B" w:rsidRDefault="0017725B" w:rsidP="00851123">
            <w:pPr>
              <w:rPr>
                <w:b/>
                <w:u w:val="single"/>
              </w:rPr>
            </w:pPr>
          </w:p>
        </w:tc>
      </w:tr>
      <w:tr w:rsidR="0009412B" w14:paraId="2CF4A217" w14:textId="77777777" w:rsidTr="00345119">
        <w:tc>
          <w:tcPr>
            <w:tcW w:w="9576" w:type="dxa"/>
          </w:tcPr>
          <w:p w14:paraId="189C720B" w14:textId="77777777" w:rsidR="008423E4" w:rsidRPr="00A8133F" w:rsidRDefault="000E70CF" w:rsidP="0085112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CFDFF2" w14:textId="77777777" w:rsidR="008423E4" w:rsidRPr="001C304E" w:rsidRDefault="008423E4" w:rsidP="00851123">
            <w:pPr>
              <w:rPr>
                <w:sz w:val="20"/>
                <w:szCs w:val="20"/>
              </w:rPr>
            </w:pPr>
          </w:p>
          <w:p w14:paraId="45F0960D" w14:textId="21ACA244" w:rsidR="00D736A9" w:rsidRDefault="000E70CF" w:rsidP="008511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F31760">
              <w:t>Texas Higher Education Coordinating Bo</w:t>
            </w:r>
            <w:r w:rsidRPr="00F31760">
              <w:t>ard</w:t>
            </w:r>
            <w:r>
              <w:t xml:space="preserve"> in SECTION </w:t>
            </w:r>
            <w:r w:rsidR="00E00260">
              <w:t>1</w:t>
            </w:r>
            <w:r w:rsidR="009C0FAC">
              <w:t xml:space="preserve"> </w:t>
            </w:r>
            <w:r>
              <w:t>of this bill.</w:t>
            </w:r>
          </w:p>
          <w:p w14:paraId="25118A55" w14:textId="77777777" w:rsidR="008423E4" w:rsidRPr="00E21FDC" w:rsidRDefault="008423E4" w:rsidP="00851123">
            <w:pPr>
              <w:rPr>
                <w:b/>
              </w:rPr>
            </w:pPr>
          </w:p>
        </w:tc>
      </w:tr>
      <w:tr w:rsidR="0009412B" w14:paraId="0FFF299B" w14:textId="77777777" w:rsidTr="00345119">
        <w:tc>
          <w:tcPr>
            <w:tcW w:w="9576" w:type="dxa"/>
          </w:tcPr>
          <w:p w14:paraId="3FFB2393" w14:textId="77777777" w:rsidR="008423E4" w:rsidRPr="00A8133F" w:rsidRDefault="000E70CF" w:rsidP="0085112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90825D" w14:textId="77777777" w:rsidR="008423E4" w:rsidRPr="001C304E" w:rsidRDefault="008423E4" w:rsidP="00851123">
            <w:pPr>
              <w:rPr>
                <w:sz w:val="20"/>
                <w:szCs w:val="20"/>
              </w:rPr>
            </w:pPr>
          </w:p>
          <w:p w14:paraId="59A0E4E4" w14:textId="03E3FE30" w:rsidR="00727E91" w:rsidRDefault="000E70CF" w:rsidP="00851123">
            <w:pPr>
              <w:pStyle w:val="Header"/>
              <w:jc w:val="both"/>
            </w:pPr>
            <w:r>
              <w:t>C.S.</w:t>
            </w:r>
            <w:r w:rsidR="00F31760">
              <w:t>H.B. 2177 amends the Education Code to require t</w:t>
            </w:r>
            <w:r w:rsidR="00F31760" w:rsidRPr="00F31760">
              <w:t>he Texas Higher Education Coordinating Board</w:t>
            </w:r>
            <w:r w:rsidR="00F31760">
              <w:t xml:space="preserve"> (THECB) to establish a pilot program </w:t>
            </w:r>
            <w:r w:rsidR="007D22F3">
              <w:t xml:space="preserve">under which </w:t>
            </w:r>
            <w:r w:rsidR="00F31760">
              <w:t>the THECB award</w:t>
            </w:r>
            <w:r w:rsidR="007D22F3">
              <w:t>s</w:t>
            </w:r>
            <w:r w:rsidR="00F31760">
              <w:t xml:space="preserve"> grants</w:t>
            </w:r>
            <w:r w:rsidR="009C0FAC">
              <w:t xml:space="preserve"> </w:t>
            </w:r>
            <w:r w:rsidR="00F31760">
              <w:t xml:space="preserve">to participating </w:t>
            </w:r>
            <w:r w:rsidRPr="00727E91">
              <w:t xml:space="preserve">public junior </w:t>
            </w:r>
            <w:r w:rsidRPr="00727E91">
              <w:t>college</w:t>
            </w:r>
            <w:r>
              <w:t>s</w:t>
            </w:r>
            <w:r w:rsidRPr="00727E91">
              <w:t>, public technical institute</w:t>
            </w:r>
            <w:r>
              <w:t>s</w:t>
            </w:r>
            <w:r w:rsidR="006F031A">
              <w:t xml:space="preserve">, or </w:t>
            </w:r>
            <w:r w:rsidR="006F031A" w:rsidRPr="00727E91">
              <w:t>public state college</w:t>
            </w:r>
            <w:r w:rsidR="006F031A">
              <w:t>s</w:t>
            </w:r>
            <w:r>
              <w:t xml:space="preserve"> </w:t>
            </w:r>
            <w:r w:rsidR="00F31760">
              <w:t xml:space="preserve">to provide financial assistance to eligible students for the cost of </w:t>
            </w:r>
            <w:r>
              <w:t>accessing</w:t>
            </w:r>
            <w:r w:rsidR="0006654A">
              <w:t xml:space="preserve"> digital </w:t>
            </w:r>
            <w:r>
              <w:t>course</w:t>
            </w:r>
            <w:r w:rsidR="0006654A">
              <w:t xml:space="preserve"> materials</w:t>
            </w:r>
            <w:r w:rsidR="00E94553">
              <w:t xml:space="preserve">, defined by the bill as </w:t>
            </w:r>
            <w:r w:rsidR="00371996">
              <w:t xml:space="preserve">a </w:t>
            </w:r>
            <w:r w:rsidR="00E94553">
              <w:t>digital textbook</w:t>
            </w:r>
            <w:r w:rsidR="00371996">
              <w:t>,</w:t>
            </w:r>
            <w:r w:rsidR="00E94553">
              <w:t xml:space="preserve"> supplemental material, or open educational </w:t>
            </w:r>
            <w:r w:rsidR="00371996">
              <w:t>resource</w:t>
            </w:r>
            <w:r w:rsidR="00CF41A1" w:rsidRPr="00CF41A1">
              <w:t>.</w:t>
            </w:r>
            <w:r w:rsidR="00CF41A1">
              <w:t xml:space="preserve"> </w:t>
            </w:r>
            <w:r>
              <w:t>The bill requires the THECB</w:t>
            </w:r>
            <w:r w:rsidR="009F6293">
              <w:t xml:space="preserve">, </w:t>
            </w:r>
            <w:r w:rsidR="009F6293" w:rsidRPr="009F6293">
              <w:t>as soon as practicable after the bill's effective date</w:t>
            </w:r>
            <w:r w:rsidR="009F6293">
              <w:t>,</w:t>
            </w:r>
            <w:r>
              <w:t xml:space="preserve"> to </w:t>
            </w:r>
            <w:r w:rsidR="003E2A25">
              <w:t xml:space="preserve">adopt rules necessary to administer </w:t>
            </w:r>
            <w:r>
              <w:t>the</w:t>
            </w:r>
            <w:r w:rsidR="003029DC">
              <w:t xml:space="preserve"> </w:t>
            </w:r>
            <w:r>
              <w:t>pilot program</w:t>
            </w:r>
            <w:r w:rsidR="003E2A25">
              <w:t>, including rules</w:t>
            </w:r>
            <w:r w:rsidR="003A27D1">
              <w:t xml:space="preserve"> that </w:t>
            </w:r>
            <w:r w:rsidR="00F21AA9">
              <w:t>establish</w:t>
            </w:r>
            <w:r w:rsidR="003A27D1">
              <w:t xml:space="preserve"> the following</w:t>
            </w:r>
            <w:r>
              <w:t>:</w:t>
            </w:r>
          </w:p>
          <w:p w14:paraId="5C7E5F94" w14:textId="7F80FFCD" w:rsidR="00FE2FF1" w:rsidRDefault="000E70CF" w:rsidP="001C304E">
            <w:pPr>
              <w:pStyle w:val="Header"/>
              <w:numPr>
                <w:ilvl w:val="0"/>
                <w:numId w:val="2"/>
              </w:numPr>
              <w:jc w:val="both"/>
            </w:pPr>
            <w:r w:rsidRPr="003E2A25">
              <w:t xml:space="preserve">a methodology for selecting eligible institutions to participate in the program and allocating money appropriated for the </w:t>
            </w:r>
            <w:r w:rsidR="006F031A">
              <w:t xml:space="preserve">program's </w:t>
            </w:r>
            <w:r w:rsidRPr="003E2A25">
              <w:t>purpose among those institutions that, to the greatest extent possible, results in a distribution of grant awards that</w:t>
            </w:r>
            <w:r w:rsidR="006E56DE">
              <w:t>, as follows</w:t>
            </w:r>
            <w:r w:rsidRPr="003E2A25">
              <w:t>:</w:t>
            </w:r>
          </w:p>
          <w:p w14:paraId="0CBD1A16" w14:textId="12E26678" w:rsidR="003E2A25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reflects the varied geography and unique institutional missions in </w:t>
            </w:r>
            <w:r w:rsidR="006E56DE">
              <w:t>Texas</w:t>
            </w:r>
            <w:r>
              <w:t>; and</w:t>
            </w:r>
          </w:p>
          <w:p w14:paraId="613A1240" w14:textId="13D34262" w:rsidR="00751C5A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serves students who meet financial need requirements</w:t>
            </w:r>
            <w:r w:rsidR="006F031A">
              <w:t>,</w:t>
            </w:r>
            <w:r>
              <w:t xml:space="preserve"> </w:t>
            </w:r>
            <w:r w:rsidR="006E56DE">
              <w:t>as defined</w:t>
            </w:r>
            <w:r>
              <w:t xml:space="preserve"> by the </w:t>
            </w:r>
            <w:r w:rsidR="007C752D">
              <w:t>THECB</w:t>
            </w:r>
            <w:r>
              <w:t xml:space="preserve"> for the Texas Educational Opportunity Grant Program</w:t>
            </w:r>
            <w:r w:rsidR="006F031A">
              <w:t>,</w:t>
            </w:r>
            <w:r>
              <w:t xml:space="preserve"> and other diverse student populations t</w:t>
            </w:r>
            <w:r>
              <w:t xml:space="preserve">hat characterize higher education in </w:t>
            </w:r>
            <w:r w:rsidR="003A27D1">
              <w:t>Texas</w:t>
            </w:r>
            <w:r>
              <w:t>;</w:t>
            </w:r>
            <w:r w:rsidR="009F6293">
              <w:t xml:space="preserve"> and</w:t>
            </w:r>
          </w:p>
          <w:p w14:paraId="4D0A5F7E" w14:textId="4EE5708D" w:rsidR="003E2A25" w:rsidRDefault="000E70CF" w:rsidP="001C304E">
            <w:pPr>
              <w:pStyle w:val="Header"/>
              <w:numPr>
                <w:ilvl w:val="0"/>
                <w:numId w:val="2"/>
              </w:numPr>
              <w:jc w:val="both"/>
            </w:pPr>
            <w:r w:rsidRPr="003E2A25">
              <w:t xml:space="preserve">criteria that participating institutions must use to evaluate digital course materials that may be accessed using </w:t>
            </w:r>
            <w:r w:rsidR="00D269AA">
              <w:t xml:space="preserve">program </w:t>
            </w:r>
            <w:r w:rsidRPr="003E2A25">
              <w:t>grants, which may include criteria regarding</w:t>
            </w:r>
            <w:r w:rsidR="00D269AA">
              <w:t xml:space="preserve"> the following</w:t>
            </w:r>
            <w:r w:rsidRPr="003E2A25">
              <w:t>:</w:t>
            </w:r>
          </w:p>
          <w:p w14:paraId="7736BEED" w14:textId="05CCB969" w:rsidR="003E2A25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access to relevant technic</w:t>
            </w:r>
            <w:r>
              <w:t>al support;</w:t>
            </w:r>
          </w:p>
          <w:p w14:paraId="0A4782A9" w14:textId="3C1DA22B" w:rsidR="003E2A25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adherence to accessibility standards for students with disabilities;</w:t>
            </w:r>
          </w:p>
          <w:p w14:paraId="746C4AE8" w14:textId="60292D9D" w:rsidR="003E2A25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positive impact on student outcomes;</w:t>
            </w:r>
          </w:p>
          <w:p w14:paraId="7982AB5A" w14:textId="49BF107F" w:rsidR="003E2A25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immediate access and availability of the materials to all students enrolled at the institution;</w:t>
            </w:r>
          </w:p>
          <w:p w14:paraId="3C073418" w14:textId="1F9501BB" w:rsidR="003E2A25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faculty access to resources and training m</w:t>
            </w:r>
            <w:r>
              <w:t>aterials;</w:t>
            </w:r>
          </w:p>
          <w:p w14:paraId="19160D99" w14:textId="12897CCF" w:rsidR="003E2A25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subscription-based models;</w:t>
            </w:r>
          </w:p>
          <w:p w14:paraId="7E14654B" w14:textId="21C65FEB" w:rsidR="003E2A25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inclusive-access models; and</w:t>
            </w:r>
          </w:p>
          <w:p w14:paraId="58091C0F" w14:textId="7E0CAED4" w:rsidR="003E2A25" w:rsidRDefault="000E70CF" w:rsidP="001C304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supplemental resources that may be provided to assist students with career readiness workforce development</w:t>
            </w:r>
            <w:r w:rsidR="009F6293">
              <w:t>.</w:t>
            </w:r>
          </w:p>
          <w:p w14:paraId="7D429BC4" w14:textId="1A9BE54B" w:rsidR="00D736A9" w:rsidRPr="009C36CD" w:rsidRDefault="000E70CF" w:rsidP="001C304E">
            <w:pPr>
              <w:pStyle w:val="Header"/>
              <w:jc w:val="both"/>
            </w:pPr>
            <w:r>
              <w:t>The bill requires the T</w:t>
            </w:r>
            <w:r w:rsidRPr="009F6293">
              <w:t>HECB</w:t>
            </w:r>
            <w:r>
              <w:t xml:space="preserve">, in developing the rules, to </w:t>
            </w:r>
            <w:r w:rsidRPr="009F6293">
              <w:t>solicit input from publis</w:t>
            </w:r>
            <w:r w:rsidRPr="009F6293">
              <w:t>hers, campus bookstore operators, and other relevant industry representatives.</w:t>
            </w:r>
            <w:r>
              <w:t xml:space="preserve"> The bill's provisions expressly </w:t>
            </w:r>
            <w:r w:rsidRPr="009F6293">
              <w:t>do not affect any authority granted by an eligible institution to a faculty member to select course materials for courses taught by the faculty m</w:t>
            </w:r>
            <w:r w:rsidRPr="009F6293">
              <w:t>ember.</w:t>
            </w:r>
            <w:r>
              <w:t xml:space="preserve"> The bill requires the THECB, </w:t>
            </w:r>
            <w:r w:rsidR="00FE2FF1">
              <w:t xml:space="preserve">not later than </w:t>
            </w:r>
            <w:r w:rsidR="00344A05">
              <w:t>September </w:t>
            </w:r>
            <w:r w:rsidR="00FE2FF1">
              <w:t xml:space="preserve">1, 2026, </w:t>
            </w:r>
            <w:r>
              <w:t>to submit</w:t>
            </w:r>
            <w:r w:rsidR="00FE2FF1">
              <w:t xml:space="preserve"> to the governor, the lieutenant governor, the speaker of the house of representatives, and the presiding officer of each legislative standing committee with primary jurisdiction over higher education a report that evaluates the </w:t>
            </w:r>
            <w:r w:rsidR="00540CBE">
              <w:t xml:space="preserve">program's </w:t>
            </w:r>
            <w:r w:rsidR="00FE2FF1">
              <w:t>effectiveness in improving student outcomes</w:t>
            </w:r>
            <w:r w:rsidR="006214B0">
              <w:t xml:space="preserve"> and includes a recommendation regarding whether the pilot program should be continued, expanded, or terminated. </w:t>
            </w:r>
            <w:r w:rsidR="00E35BD2">
              <w:t xml:space="preserve">The bill's provisions </w:t>
            </w:r>
            <w:r w:rsidR="00F31760">
              <w:t>expire September</w:t>
            </w:r>
            <w:r w:rsidR="00BC0F4E">
              <w:t> </w:t>
            </w:r>
            <w:r w:rsidR="00F31760">
              <w:t>1, 2027.</w:t>
            </w:r>
            <w:r w:rsidR="00A50C26">
              <w:t xml:space="preserve"> </w:t>
            </w:r>
            <w:r>
              <w:t>The bill requires the THECB to</w:t>
            </w:r>
            <w:r w:rsidRPr="00D736A9">
              <w:t xml:space="preserve"> award initial grants beginning with th</w:t>
            </w:r>
            <w:r w:rsidRPr="00D736A9">
              <w:t>e 2024 spring semester.</w:t>
            </w:r>
          </w:p>
          <w:p w14:paraId="2BB3137B" w14:textId="77777777" w:rsidR="008423E4" w:rsidRPr="00835628" w:rsidRDefault="008423E4" w:rsidP="00851123">
            <w:pPr>
              <w:rPr>
                <w:b/>
              </w:rPr>
            </w:pPr>
          </w:p>
        </w:tc>
      </w:tr>
      <w:tr w:rsidR="0009412B" w14:paraId="0F06B674" w14:textId="77777777" w:rsidTr="00345119">
        <w:tc>
          <w:tcPr>
            <w:tcW w:w="9576" w:type="dxa"/>
          </w:tcPr>
          <w:p w14:paraId="4AEBE391" w14:textId="77777777" w:rsidR="008423E4" w:rsidRPr="00A8133F" w:rsidRDefault="000E70CF" w:rsidP="0085112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861DB9" w14:textId="77777777" w:rsidR="008423E4" w:rsidRPr="001C304E" w:rsidRDefault="008423E4" w:rsidP="00851123">
            <w:pPr>
              <w:rPr>
                <w:sz w:val="20"/>
                <w:szCs w:val="20"/>
              </w:rPr>
            </w:pPr>
          </w:p>
          <w:p w14:paraId="722F1932" w14:textId="00EAF59B" w:rsidR="008423E4" w:rsidRPr="003624F2" w:rsidRDefault="000E70CF" w:rsidP="008511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3E68EF3" w14:textId="77777777" w:rsidR="008423E4" w:rsidRPr="00233FDB" w:rsidRDefault="008423E4" w:rsidP="00851123">
            <w:pPr>
              <w:rPr>
                <w:b/>
              </w:rPr>
            </w:pPr>
          </w:p>
        </w:tc>
      </w:tr>
      <w:tr w:rsidR="0009412B" w14:paraId="54932465" w14:textId="77777777" w:rsidTr="00345119">
        <w:tc>
          <w:tcPr>
            <w:tcW w:w="9576" w:type="dxa"/>
          </w:tcPr>
          <w:p w14:paraId="5855EC77" w14:textId="77777777" w:rsidR="00800F3C" w:rsidRDefault="000E70CF" w:rsidP="0085112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5159BE4" w14:textId="77777777" w:rsidR="00955754" w:rsidRPr="001C304E" w:rsidRDefault="00955754" w:rsidP="00851123">
            <w:pPr>
              <w:jc w:val="both"/>
              <w:rPr>
                <w:sz w:val="20"/>
                <w:szCs w:val="20"/>
              </w:rPr>
            </w:pPr>
          </w:p>
          <w:p w14:paraId="4B91E04B" w14:textId="1DDBEC79" w:rsidR="00955754" w:rsidRDefault="000E70CF" w:rsidP="00851123">
            <w:pPr>
              <w:jc w:val="both"/>
            </w:pPr>
            <w:r>
              <w:t xml:space="preserve">While C.S.H.B. 2177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190BA5D1" w14:textId="3F8CEF1D" w:rsidR="00955754" w:rsidRPr="001C304E" w:rsidRDefault="00955754" w:rsidP="00851123">
            <w:pPr>
              <w:jc w:val="both"/>
              <w:rPr>
                <w:sz w:val="20"/>
                <w:szCs w:val="20"/>
              </w:rPr>
            </w:pPr>
          </w:p>
          <w:p w14:paraId="1CBE0EE4" w14:textId="41C3CF59" w:rsidR="00955754" w:rsidRDefault="000E70CF" w:rsidP="00851123">
            <w:pPr>
              <w:jc w:val="both"/>
            </w:pPr>
            <w:r>
              <w:t>The substitute changes the purpose of the pilot program</w:t>
            </w:r>
            <w:r w:rsidR="007C752D">
              <w:t xml:space="preserve"> from </w:t>
            </w:r>
            <w:r w:rsidR="007C752D" w:rsidRPr="007C752D">
              <w:t>provid</w:t>
            </w:r>
            <w:r w:rsidR="007C752D">
              <w:t>ing</w:t>
            </w:r>
            <w:r w:rsidR="007C752D" w:rsidRPr="007C752D">
              <w:t xml:space="preserve"> financial assistance to eligible students for the cost of subscribing to the digital textbook and learning materials subscription program</w:t>
            </w:r>
            <w:r w:rsidR="007C752D">
              <w:t>,</w:t>
            </w:r>
            <w:r>
              <w:t xml:space="preserve"> as in the</w:t>
            </w:r>
            <w:r w:rsidR="007C752D">
              <w:t xml:space="preserve"> </w:t>
            </w:r>
            <w:r>
              <w:t xml:space="preserve">introduced, to </w:t>
            </w:r>
            <w:r w:rsidR="007C752D">
              <w:t xml:space="preserve">providing </w:t>
            </w:r>
            <w:r w:rsidR="007C752D" w:rsidRPr="007C752D">
              <w:t>financial assistance to students for the cost of accessing digital course materials</w:t>
            </w:r>
            <w:r w:rsidR="007C752D">
              <w:t xml:space="preserve">. </w:t>
            </w:r>
          </w:p>
          <w:p w14:paraId="0FF65CCE" w14:textId="77777777" w:rsidR="009F409E" w:rsidRPr="001C304E" w:rsidRDefault="009F409E" w:rsidP="00851123">
            <w:pPr>
              <w:jc w:val="both"/>
              <w:rPr>
                <w:sz w:val="20"/>
                <w:szCs w:val="20"/>
              </w:rPr>
            </w:pPr>
          </w:p>
          <w:p w14:paraId="1965C5BA" w14:textId="4A764F3B" w:rsidR="000B47AB" w:rsidRDefault="000E70CF" w:rsidP="00851123">
            <w:pPr>
              <w:jc w:val="both"/>
            </w:pPr>
            <w:r w:rsidRPr="00E24D91">
              <w:t xml:space="preserve">Whereas the introduced </w:t>
            </w:r>
            <w:r>
              <w:t xml:space="preserve">required the THECB to select </w:t>
            </w:r>
            <w:r w:rsidR="00B0310A">
              <w:t xml:space="preserve">as program participants </w:t>
            </w:r>
            <w:r>
              <w:t xml:space="preserve">institutions in both rural and urban areas of Texas and prioritize institutions with large socially and economically disadvantaged and historically underrepresented student populations, </w:t>
            </w:r>
            <w:r w:rsidRPr="00E24D91">
              <w:t xml:space="preserve">the substitute </w:t>
            </w:r>
            <w:r>
              <w:t>re</w:t>
            </w:r>
            <w:r>
              <w:t>quires</w:t>
            </w:r>
            <w:r w:rsidR="009465B6">
              <w:t xml:space="preserve"> the</w:t>
            </w:r>
            <w:r>
              <w:t xml:space="preserve"> THECB to adopt rules establishing a methodology for selecting eligible institutions that </w:t>
            </w:r>
            <w:r w:rsidR="00B0310A">
              <w:t xml:space="preserve">results in a distribution of grant awards that </w:t>
            </w:r>
            <w:r>
              <w:t xml:space="preserve">reflects the state's varied geography and unique institutional missions and serves </w:t>
            </w:r>
            <w:r w:rsidR="000A0333">
              <w:t xml:space="preserve">certain </w:t>
            </w:r>
            <w:r>
              <w:t>diverse student po</w:t>
            </w:r>
            <w:r>
              <w:t xml:space="preserve">pulations. </w:t>
            </w:r>
          </w:p>
          <w:p w14:paraId="1BE08979" w14:textId="77777777" w:rsidR="000B47AB" w:rsidRPr="001C304E" w:rsidRDefault="000B47AB" w:rsidP="00851123">
            <w:pPr>
              <w:jc w:val="both"/>
              <w:rPr>
                <w:sz w:val="20"/>
                <w:szCs w:val="20"/>
              </w:rPr>
            </w:pPr>
          </w:p>
          <w:p w14:paraId="0E824FE0" w14:textId="7256974F" w:rsidR="004C423A" w:rsidRDefault="000E70CF" w:rsidP="00851123">
            <w:pPr>
              <w:jc w:val="both"/>
            </w:pPr>
            <w:r>
              <w:t>The substitute replaces the introduced version's require</w:t>
            </w:r>
            <w:r w:rsidR="000B47AB">
              <w:t>ments</w:t>
            </w:r>
            <w:r>
              <w:t xml:space="preserve"> </w:t>
            </w:r>
            <w:r w:rsidR="000B47AB">
              <w:t xml:space="preserve">for </w:t>
            </w:r>
            <w:r>
              <w:t xml:space="preserve">eligible institutions to determine eligibility criteria </w:t>
            </w:r>
            <w:r w:rsidRPr="004C423A">
              <w:t xml:space="preserve">for </w:t>
            </w:r>
            <w:r w:rsidR="000B47AB">
              <w:t xml:space="preserve">a </w:t>
            </w:r>
            <w:r w:rsidRPr="004C423A">
              <w:t>student to receive financial assistance under the pilot program</w:t>
            </w:r>
            <w:r w:rsidR="000B47AB">
              <w:t xml:space="preserve"> and to prioritize providing assistance to economically disadvantaged students</w:t>
            </w:r>
            <w:r w:rsidRPr="004C423A">
              <w:t xml:space="preserve"> </w:t>
            </w:r>
            <w:r>
              <w:t xml:space="preserve">with a </w:t>
            </w:r>
            <w:r w:rsidR="009F724E">
              <w:t xml:space="preserve">provision </w:t>
            </w:r>
            <w:r>
              <w:t>requir</w:t>
            </w:r>
            <w:r w:rsidR="009F724E">
              <w:t xml:space="preserve">ing </w:t>
            </w:r>
            <w:r>
              <w:t xml:space="preserve">that </w:t>
            </w:r>
            <w:r w:rsidR="000B47AB">
              <w:t xml:space="preserve">THECB </w:t>
            </w:r>
            <w:r>
              <w:t xml:space="preserve">rules </w:t>
            </w:r>
            <w:r w:rsidRPr="004C423A">
              <w:t>establish criteria that participating institutions must use to evaluate digital course materials that may be accessed using grants awarded under the program</w:t>
            </w:r>
            <w:r w:rsidR="009F724E">
              <w:t xml:space="preserve"> and setting out elements that may be included in the criteria</w:t>
            </w:r>
            <w:r>
              <w:t>.</w:t>
            </w:r>
          </w:p>
          <w:p w14:paraId="349CCC3F" w14:textId="77777777" w:rsidR="009F409E" w:rsidRPr="001C304E" w:rsidRDefault="009F409E" w:rsidP="00851123">
            <w:pPr>
              <w:jc w:val="both"/>
              <w:rPr>
                <w:sz w:val="20"/>
                <w:szCs w:val="20"/>
              </w:rPr>
            </w:pPr>
          </w:p>
          <w:p w14:paraId="3D9CE832" w14:textId="22CF5E95" w:rsidR="009F724E" w:rsidRDefault="000E70CF" w:rsidP="00851123">
            <w:pPr>
              <w:jc w:val="both"/>
            </w:pPr>
            <w:r w:rsidRPr="004C423A">
              <w:t xml:space="preserve">The substitute omits the provision from the introduced that </w:t>
            </w:r>
            <w:r>
              <w:t>required</w:t>
            </w:r>
            <w:r w:rsidR="009465B6">
              <w:t xml:space="preserve"> the</w:t>
            </w:r>
            <w:r>
              <w:t xml:space="preserve"> THECB to </w:t>
            </w:r>
            <w:r w:rsidRPr="004C423A">
              <w:t>engage in a competitive bidding process to select the digital textbook and learning materials subscription</w:t>
            </w:r>
            <w:r>
              <w:t xml:space="preserve"> and </w:t>
            </w:r>
            <w:r w:rsidR="009F409E">
              <w:t xml:space="preserve">that </w:t>
            </w:r>
            <w:r>
              <w:t xml:space="preserve">required </w:t>
            </w:r>
            <w:r w:rsidR="009F409E">
              <w:t xml:space="preserve">the </w:t>
            </w:r>
            <w:r>
              <w:t xml:space="preserve">selected </w:t>
            </w:r>
            <w:r w:rsidR="009F409E">
              <w:t xml:space="preserve">subscription </w:t>
            </w:r>
            <w:r>
              <w:t xml:space="preserve">to </w:t>
            </w:r>
            <w:r w:rsidR="009F409E" w:rsidRPr="009F409E">
              <w:t>provide 24-hour technical support services</w:t>
            </w:r>
            <w:r>
              <w:t xml:space="preserve"> to subscribers</w:t>
            </w:r>
            <w:r w:rsidR="009F409E">
              <w:t xml:space="preserve">. </w:t>
            </w:r>
          </w:p>
          <w:p w14:paraId="62A20916" w14:textId="77777777" w:rsidR="009F724E" w:rsidRPr="001C304E" w:rsidRDefault="009F724E" w:rsidP="00851123">
            <w:pPr>
              <w:jc w:val="both"/>
              <w:rPr>
                <w:sz w:val="20"/>
                <w:szCs w:val="20"/>
              </w:rPr>
            </w:pPr>
          </w:p>
          <w:p w14:paraId="02FEE590" w14:textId="6591D3E7" w:rsidR="009F409E" w:rsidRDefault="000E70CF" w:rsidP="00851123">
            <w:pPr>
              <w:jc w:val="both"/>
            </w:pPr>
            <w:r>
              <w:t>The substitute includes provisions that were not in the introduced requiring</w:t>
            </w:r>
            <w:r w:rsidR="009F724E">
              <w:t xml:space="preserve"> the</w:t>
            </w:r>
            <w:r>
              <w:t xml:space="preserve"> THECB, in developing the rules, </w:t>
            </w:r>
            <w:r w:rsidR="009F724E">
              <w:t xml:space="preserve">to </w:t>
            </w:r>
            <w:r>
              <w:t>solicit input from relevant industry representatives and establ</w:t>
            </w:r>
            <w:r>
              <w:t xml:space="preserve">ishing that the bill's provisions do not affect </w:t>
            </w:r>
            <w:r w:rsidR="00CF317D">
              <w:t xml:space="preserve">a </w:t>
            </w:r>
            <w:r w:rsidR="00C10E57">
              <w:t>faculty</w:t>
            </w:r>
            <w:r>
              <w:t xml:space="preserve"> </w:t>
            </w:r>
            <w:r w:rsidR="00CF317D">
              <w:t xml:space="preserve">member's </w:t>
            </w:r>
            <w:r>
              <w:t xml:space="preserve">authority to select course materials for </w:t>
            </w:r>
            <w:r w:rsidR="00C10E57">
              <w:t xml:space="preserve">applicable </w:t>
            </w:r>
            <w:r>
              <w:t xml:space="preserve">courses. </w:t>
            </w:r>
          </w:p>
          <w:p w14:paraId="267B3C0E" w14:textId="77777777" w:rsidR="001C304E" w:rsidRDefault="001C304E" w:rsidP="00851123">
            <w:pPr>
              <w:jc w:val="both"/>
            </w:pPr>
          </w:p>
          <w:p w14:paraId="11ED383D" w14:textId="7BD102A4" w:rsidR="00955754" w:rsidRPr="00955754" w:rsidRDefault="000E70CF" w:rsidP="00851123">
            <w:pPr>
              <w:jc w:val="both"/>
            </w:pPr>
            <w:r w:rsidRPr="00264075">
              <w:t xml:space="preserve">While both the introduced and the substitute </w:t>
            </w:r>
            <w:r>
              <w:t>require the THE</w:t>
            </w:r>
            <w:r w:rsidR="00CF317D">
              <w:t>C</w:t>
            </w:r>
            <w:r>
              <w:t>B</w:t>
            </w:r>
            <w:r w:rsidR="00CF317D">
              <w:t xml:space="preserve"> </w:t>
            </w:r>
            <w:r>
              <w:t xml:space="preserve">to </w:t>
            </w:r>
            <w:r w:rsidRPr="00264075">
              <w:t>award initial grants</w:t>
            </w:r>
            <w:r>
              <w:t xml:space="preserve"> </w:t>
            </w:r>
            <w:r w:rsidRPr="00264075">
              <w:t xml:space="preserve">beginning with the 2024 spring </w:t>
            </w:r>
            <w:r w:rsidRPr="00264075">
              <w:t>semester</w:t>
            </w:r>
            <w:r>
              <w:t xml:space="preserve">, the substitute omits </w:t>
            </w:r>
            <w:r w:rsidR="00C10E57">
              <w:t>the</w:t>
            </w:r>
            <w:r>
              <w:t xml:space="preserve"> requirement </w:t>
            </w:r>
            <w:r w:rsidR="00C10E57">
              <w:t xml:space="preserve">in the introduced </w:t>
            </w:r>
            <w:r>
              <w:t xml:space="preserve">for </w:t>
            </w:r>
            <w:r w:rsidRPr="00264075">
              <w:t xml:space="preserve">participating </w:t>
            </w:r>
            <w:r>
              <w:t>eligible</w:t>
            </w:r>
            <w:r w:rsidRPr="00264075">
              <w:t xml:space="preserve"> institutions</w:t>
            </w:r>
            <w:r>
              <w:t xml:space="preserve"> to award the initial grants</w:t>
            </w:r>
            <w:r w:rsidR="00C10E57">
              <w:t xml:space="preserve"> beginning with the 2024 spring semester</w:t>
            </w:r>
            <w:r w:rsidR="00F53AD5">
              <w:t>.</w:t>
            </w:r>
          </w:p>
        </w:tc>
      </w:tr>
      <w:tr w:rsidR="0009412B" w14:paraId="72E6835E" w14:textId="77777777" w:rsidTr="00345119">
        <w:tc>
          <w:tcPr>
            <w:tcW w:w="9576" w:type="dxa"/>
          </w:tcPr>
          <w:p w14:paraId="03EB3F42" w14:textId="77777777" w:rsidR="00800F3C" w:rsidRPr="001C304E" w:rsidRDefault="00800F3C" w:rsidP="00851123">
            <w:pPr>
              <w:rPr>
                <w:bCs/>
                <w:sz w:val="8"/>
                <w:szCs w:val="8"/>
              </w:rPr>
            </w:pPr>
          </w:p>
        </w:tc>
      </w:tr>
      <w:tr w:rsidR="0009412B" w14:paraId="0A7067DF" w14:textId="77777777" w:rsidTr="00345119">
        <w:tc>
          <w:tcPr>
            <w:tcW w:w="9576" w:type="dxa"/>
          </w:tcPr>
          <w:p w14:paraId="18798F05" w14:textId="77777777" w:rsidR="00800F3C" w:rsidRPr="001C304E" w:rsidRDefault="00800F3C" w:rsidP="00851123">
            <w:pPr>
              <w:jc w:val="both"/>
              <w:rPr>
                <w:sz w:val="8"/>
                <w:szCs w:val="8"/>
              </w:rPr>
            </w:pPr>
          </w:p>
        </w:tc>
      </w:tr>
    </w:tbl>
    <w:p w14:paraId="78B31078" w14:textId="77777777" w:rsidR="004108C3" w:rsidRPr="001C304E" w:rsidRDefault="004108C3" w:rsidP="00851123">
      <w:pPr>
        <w:rPr>
          <w:sz w:val="2"/>
          <w:szCs w:val="2"/>
        </w:rPr>
      </w:pPr>
    </w:p>
    <w:sectPr w:rsidR="004108C3" w:rsidRPr="001C304E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A2D7" w14:textId="77777777" w:rsidR="00000000" w:rsidRDefault="000E70CF">
      <w:r>
        <w:separator/>
      </w:r>
    </w:p>
  </w:endnote>
  <w:endnote w:type="continuationSeparator" w:id="0">
    <w:p w14:paraId="2AA81FEB" w14:textId="77777777" w:rsidR="00000000" w:rsidRDefault="000E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945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9412B" w14:paraId="4C7D09C5" w14:textId="77777777" w:rsidTr="009C1E9A">
      <w:trPr>
        <w:cantSplit/>
      </w:trPr>
      <w:tc>
        <w:tcPr>
          <w:tcW w:w="0" w:type="pct"/>
        </w:tcPr>
        <w:p w14:paraId="655CB9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3FFA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79F8E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4ED8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D4F9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412B" w14:paraId="27366E21" w14:textId="77777777" w:rsidTr="009C1E9A">
      <w:trPr>
        <w:cantSplit/>
      </w:trPr>
      <w:tc>
        <w:tcPr>
          <w:tcW w:w="0" w:type="pct"/>
        </w:tcPr>
        <w:p w14:paraId="73ECA3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3DFD85" w14:textId="38AB44FE" w:rsidR="00EC379B" w:rsidRPr="009C1E9A" w:rsidRDefault="000E70C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25421-D</w:t>
          </w:r>
        </w:p>
      </w:tc>
      <w:tc>
        <w:tcPr>
          <w:tcW w:w="2453" w:type="pct"/>
        </w:tcPr>
        <w:p w14:paraId="5D33CC6E" w14:textId="1386896A" w:rsidR="00EC379B" w:rsidRDefault="000E70C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140F4">
            <w:t>23.113.485</w:t>
          </w:r>
          <w:r>
            <w:fldChar w:fldCharType="end"/>
          </w:r>
        </w:p>
      </w:tc>
    </w:tr>
    <w:tr w:rsidR="0009412B" w14:paraId="31190D60" w14:textId="77777777" w:rsidTr="009C1E9A">
      <w:trPr>
        <w:cantSplit/>
      </w:trPr>
      <w:tc>
        <w:tcPr>
          <w:tcW w:w="0" w:type="pct"/>
        </w:tcPr>
        <w:p w14:paraId="6E2BBD7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10FB31" w14:textId="6BC8B0EA" w:rsidR="00EC379B" w:rsidRPr="009C1E9A" w:rsidRDefault="000E70C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22629</w:t>
          </w:r>
        </w:p>
      </w:tc>
      <w:tc>
        <w:tcPr>
          <w:tcW w:w="2453" w:type="pct"/>
        </w:tcPr>
        <w:p w14:paraId="698142A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E778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412B" w14:paraId="40CA524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922EDB3" w14:textId="77777777" w:rsidR="00EC379B" w:rsidRDefault="000E70C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05AC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C27A7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87A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CA57" w14:textId="77777777" w:rsidR="00000000" w:rsidRDefault="000E70CF">
      <w:r>
        <w:separator/>
      </w:r>
    </w:p>
  </w:footnote>
  <w:footnote w:type="continuationSeparator" w:id="0">
    <w:p w14:paraId="330FC8EE" w14:textId="77777777" w:rsidR="00000000" w:rsidRDefault="000E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BFA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EB4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DC6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D10F8"/>
    <w:multiLevelType w:val="hybridMultilevel"/>
    <w:tmpl w:val="64E05FD8"/>
    <w:lvl w:ilvl="0" w:tplc="70D4F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23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A5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CD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5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CC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88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21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8C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D0FBE"/>
    <w:multiLevelType w:val="hybridMultilevel"/>
    <w:tmpl w:val="4BF8D0DC"/>
    <w:lvl w:ilvl="0" w:tplc="32C4E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40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AD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09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A3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2B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C9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E8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67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9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54A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12B"/>
    <w:rsid w:val="00097AAF"/>
    <w:rsid w:val="00097D13"/>
    <w:rsid w:val="000A0333"/>
    <w:rsid w:val="000A4893"/>
    <w:rsid w:val="000A54E0"/>
    <w:rsid w:val="000A72C4"/>
    <w:rsid w:val="000B0F30"/>
    <w:rsid w:val="000B1486"/>
    <w:rsid w:val="000B3E61"/>
    <w:rsid w:val="000B47AB"/>
    <w:rsid w:val="000B54AF"/>
    <w:rsid w:val="000B6090"/>
    <w:rsid w:val="000B6FEE"/>
    <w:rsid w:val="000C12C4"/>
    <w:rsid w:val="000C49DA"/>
    <w:rsid w:val="000C4B3D"/>
    <w:rsid w:val="000C6A1F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0CF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636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04E"/>
    <w:rsid w:val="001C60B5"/>
    <w:rsid w:val="001C61B0"/>
    <w:rsid w:val="001C7957"/>
    <w:rsid w:val="001C7DB8"/>
    <w:rsid w:val="001C7EA8"/>
    <w:rsid w:val="001D131D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0F4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C16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075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1E9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9DC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A05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996"/>
    <w:rsid w:val="003747DF"/>
    <w:rsid w:val="00377E3D"/>
    <w:rsid w:val="003847E8"/>
    <w:rsid w:val="0038731D"/>
    <w:rsid w:val="00387B60"/>
    <w:rsid w:val="00390098"/>
    <w:rsid w:val="00390555"/>
    <w:rsid w:val="00392DA1"/>
    <w:rsid w:val="00393718"/>
    <w:rsid w:val="003A0296"/>
    <w:rsid w:val="003A10BC"/>
    <w:rsid w:val="003A27D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A2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23A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A98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CBE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A05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4B0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12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6DE"/>
    <w:rsid w:val="006F031A"/>
    <w:rsid w:val="006F365D"/>
    <w:rsid w:val="006F4BB0"/>
    <w:rsid w:val="007031BD"/>
    <w:rsid w:val="00703E80"/>
    <w:rsid w:val="0070455E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27E91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C5A"/>
    <w:rsid w:val="0075287B"/>
    <w:rsid w:val="00755C7B"/>
    <w:rsid w:val="00761DA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41E"/>
    <w:rsid w:val="007A7EC1"/>
    <w:rsid w:val="007B4FCA"/>
    <w:rsid w:val="007B7B85"/>
    <w:rsid w:val="007C462E"/>
    <w:rsid w:val="007C496B"/>
    <w:rsid w:val="007C6803"/>
    <w:rsid w:val="007C752D"/>
    <w:rsid w:val="007D22F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0F3C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123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7D2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778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26BB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DC9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5B6"/>
    <w:rsid w:val="00946DEE"/>
    <w:rsid w:val="00953499"/>
    <w:rsid w:val="00954A16"/>
    <w:rsid w:val="00955754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216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FAC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09E"/>
    <w:rsid w:val="009F4B4A"/>
    <w:rsid w:val="009F4EB0"/>
    <w:rsid w:val="009F4F2B"/>
    <w:rsid w:val="009F513E"/>
    <w:rsid w:val="009F5802"/>
    <w:rsid w:val="009F6293"/>
    <w:rsid w:val="009F64AE"/>
    <w:rsid w:val="009F724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26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58F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10A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372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B91"/>
    <w:rsid w:val="00BB5B36"/>
    <w:rsid w:val="00BB7DAB"/>
    <w:rsid w:val="00BC027B"/>
    <w:rsid w:val="00BC0F4E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4FE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E57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47F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39B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37A"/>
    <w:rsid w:val="00CF317D"/>
    <w:rsid w:val="00CF41A1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9AA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6A9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260"/>
    <w:rsid w:val="00E00D5A"/>
    <w:rsid w:val="00E01462"/>
    <w:rsid w:val="00E01A76"/>
    <w:rsid w:val="00E04B30"/>
    <w:rsid w:val="00E04C4E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D91"/>
    <w:rsid w:val="00E2551E"/>
    <w:rsid w:val="00E26B13"/>
    <w:rsid w:val="00E27E5A"/>
    <w:rsid w:val="00E31135"/>
    <w:rsid w:val="00E317BA"/>
    <w:rsid w:val="00E3469B"/>
    <w:rsid w:val="00E35BD2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553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0B2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AA9"/>
    <w:rsid w:val="00F25C26"/>
    <w:rsid w:val="00F25CC2"/>
    <w:rsid w:val="00F27573"/>
    <w:rsid w:val="00F307B6"/>
    <w:rsid w:val="00F30EB8"/>
    <w:rsid w:val="00F31760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AD5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A4A"/>
    <w:rsid w:val="00FC2809"/>
    <w:rsid w:val="00FC5388"/>
    <w:rsid w:val="00FC726C"/>
    <w:rsid w:val="00FD1B4B"/>
    <w:rsid w:val="00FD1B94"/>
    <w:rsid w:val="00FE19C5"/>
    <w:rsid w:val="00FE2FF1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199520-0CDD-4E25-A838-ACD8CB5A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647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4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47D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47D2"/>
    <w:rPr>
      <w:b/>
      <w:bCs/>
    </w:rPr>
  </w:style>
  <w:style w:type="paragraph" w:styleId="Revision">
    <w:name w:val="Revision"/>
    <w:hidden/>
    <w:uiPriority w:val="99"/>
    <w:semiHidden/>
    <w:rsid w:val="009C0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5679</Characters>
  <Application>Microsoft Office Word</Application>
  <DocSecurity>4</DocSecurity>
  <Lines>117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HB02177 (Committee Report (Substituted))</vt:lpstr>
    </vt:vector>
  </TitlesOfParts>
  <Company>State of Texas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25421</dc:subject>
  <dc:creator>State of Texas</dc:creator>
  <dc:description>HB 2177 by Stucky-(H)Higher Education (Substitute Document Number: 88R 22629)</dc:description>
  <cp:lastModifiedBy>Alan Gonzalez Otero</cp:lastModifiedBy>
  <cp:revision>2</cp:revision>
  <cp:lastPrinted>2003-11-26T17:21:00Z</cp:lastPrinted>
  <dcterms:created xsi:type="dcterms:W3CDTF">2023-04-26T16:51:00Z</dcterms:created>
  <dcterms:modified xsi:type="dcterms:W3CDTF">2023-04-26T16:51:00Z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23.113.485</vt:lpwstr>
  </property>
</Properties>
</file>