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A53B3" w14:paraId="21242CF7" w14:textId="77777777" w:rsidTr="00345119">
        <w:tc>
          <w:tcPr>
            <w:tcW w:w="9576" w:type="dxa"/>
            <w:noWrap/>
          </w:tcPr>
          <w:p w14:paraId="28BE21D2" w14:textId="77777777" w:rsidR="008423E4" w:rsidRPr="0022177D" w:rsidRDefault="00154A3E" w:rsidP="000C7E31">
            <w:pPr>
              <w:pStyle w:val="Heading1"/>
            </w:pPr>
            <w:r w:rsidRPr="00631897">
              <w:t>BILL ANALYSIS</w:t>
            </w:r>
          </w:p>
        </w:tc>
      </w:tr>
    </w:tbl>
    <w:p w14:paraId="03DDB1A3" w14:textId="77777777" w:rsidR="008423E4" w:rsidRPr="0022177D" w:rsidRDefault="008423E4" w:rsidP="000C7E31">
      <w:pPr>
        <w:jc w:val="center"/>
      </w:pPr>
    </w:p>
    <w:p w14:paraId="6AF46CA4" w14:textId="77777777" w:rsidR="008423E4" w:rsidRPr="00B31F0E" w:rsidRDefault="008423E4" w:rsidP="000C7E31"/>
    <w:p w14:paraId="3DF8B2C9" w14:textId="77777777" w:rsidR="008423E4" w:rsidRPr="00742794" w:rsidRDefault="008423E4" w:rsidP="000C7E3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A53B3" w14:paraId="695C4537" w14:textId="77777777" w:rsidTr="00345119">
        <w:tc>
          <w:tcPr>
            <w:tcW w:w="9576" w:type="dxa"/>
          </w:tcPr>
          <w:p w14:paraId="08EF8F62" w14:textId="008E7A29" w:rsidR="008423E4" w:rsidRPr="00861995" w:rsidRDefault="00154A3E" w:rsidP="000C7E31">
            <w:pPr>
              <w:jc w:val="right"/>
            </w:pPr>
            <w:r>
              <w:t>C.S.H.B. 2196</w:t>
            </w:r>
          </w:p>
        </w:tc>
      </w:tr>
      <w:tr w:rsidR="009A53B3" w14:paraId="6BE9D52D" w14:textId="77777777" w:rsidTr="00345119">
        <w:tc>
          <w:tcPr>
            <w:tcW w:w="9576" w:type="dxa"/>
          </w:tcPr>
          <w:p w14:paraId="13D84C0A" w14:textId="652C7694" w:rsidR="008423E4" w:rsidRPr="00861995" w:rsidRDefault="00154A3E" w:rsidP="000C7E31">
            <w:pPr>
              <w:jc w:val="right"/>
            </w:pPr>
            <w:r>
              <w:t xml:space="preserve">By: </w:t>
            </w:r>
            <w:r w:rsidR="00D74063">
              <w:t>Smithee</w:t>
            </w:r>
          </w:p>
        </w:tc>
      </w:tr>
      <w:tr w:rsidR="009A53B3" w14:paraId="247B5714" w14:textId="77777777" w:rsidTr="00345119">
        <w:tc>
          <w:tcPr>
            <w:tcW w:w="9576" w:type="dxa"/>
          </w:tcPr>
          <w:p w14:paraId="04A40C5F" w14:textId="75CDE65A" w:rsidR="008423E4" w:rsidRPr="00861995" w:rsidRDefault="00154A3E" w:rsidP="000C7E31">
            <w:pPr>
              <w:jc w:val="right"/>
            </w:pPr>
            <w:r>
              <w:t>Judiciary &amp; Civil Jurisprudence</w:t>
            </w:r>
          </w:p>
        </w:tc>
      </w:tr>
      <w:tr w:rsidR="009A53B3" w14:paraId="65353756" w14:textId="77777777" w:rsidTr="00345119">
        <w:tc>
          <w:tcPr>
            <w:tcW w:w="9576" w:type="dxa"/>
          </w:tcPr>
          <w:p w14:paraId="2AC86772" w14:textId="770AFBAF" w:rsidR="008423E4" w:rsidRDefault="00154A3E" w:rsidP="000C7E31">
            <w:pPr>
              <w:jc w:val="right"/>
            </w:pPr>
            <w:r>
              <w:t>Committee Report (Substituted)</w:t>
            </w:r>
          </w:p>
        </w:tc>
      </w:tr>
    </w:tbl>
    <w:p w14:paraId="4598BD8D" w14:textId="77777777" w:rsidR="008423E4" w:rsidRDefault="008423E4" w:rsidP="000C7E31">
      <w:pPr>
        <w:tabs>
          <w:tab w:val="right" w:pos="9360"/>
        </w:tabs>
      </w:pPr>
    </w:p>
    <w:p w14:paraId="0FACA5DD" w14:textId="77777777" w:rsidR="008423E4" w:rsidRDefault="008423E4" w:rsidP="000C7E31"/>
    <w:p w14:paraId="6D63C861" w14:textId="77777777" w:rsidR="008423E4" w:rsidRDefault="008423E4" w:rsidP="000C7E3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A53B3" w14:paraId="028A61B9" w14:textId="77777777" w:rsidTr="005E2F1D">
        <w:tc>
          <w:tcPr>
            <w:tcW w:w="9360" w:type="dxa"/>
          </w:tcPr>
          <w:p w14:paraId="280B1AD0" w14:textId="77777777" w:rsidR="008423E4" w:rsidRPr="00A8133F" w:rsidRDefault="00154A3E" w:rsidP="000C7E3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D1074DA" w14:textId="77777777" w:rsidR="008423E4" w:rsidRDefault="008423E4" w:rsidP="000C7E31"/>
          <w:p w14:paraId="0B5FC07E" w14:textId="173DC25A" w:rsidR="008423E4" w:rsidRDefault="00154A3E" w:rsidP="000C7E31">
            <w:pPr>
              <w:pStyle w:val="Header"/>
              <w:jc w:val="both"/>
            </w:pPr>
            <w:r>
              <w:t>Practicing a</w:t>
            </w:r>
            <w:r w:rsidR="00393F5F">
              <w:t>ttorneys</w:t>
            </w:r>
            <w:r w:rsidR="00B31A81">
              <w:t xml:space="preserve"> </w:t>
            </w:r>
            <w:r w:rsidR="00393F5F">
              <w:t xml:space="preserve">have </w:t>
            </w:r>
            <w:r w:rsidR="00B31A81">
              <w:t xml:space="preserve">identified areas of </w:t>
            </w:r>
            <w:r>
              <w:t xml:space="preserve">trust </w:t>
            </w:r>
            <w:r w:rsidR="00B31A81">
              <w:t xml:space="preserve">law that </w:t>
            </w:r>
            <w:r w:rsidR="00081382">
              <w:t xml:space="preserve">lack clarity and </w:t>
            </w:r>
            <w:r w:rsidR="00B31A81">
              <w:t xml:space="preserve">need to be modified so as to preclude unnecessary litigation. </w:t>
            </w:r>
            <w:r w:rsidR="00081382">
              <w:t xml:space="preserve">For instance, </w:t>
            </w:r>
            <w:r w:rsidR="00393F5F">
              <w:t>t</w:t>
            </w:r>
            <w:r w:rsidR="00B31A81">
              <w:t xml:space="preserve">he Property Code and Tax Code have different provisions regarding what language is needed for a revocable trust to qualify as a homestead. </w:t>
            </w:r>
            <w:r w:rsidR="00825A01">
              <w:t>There are other issues pertaining to trusts; l</w:t>
            </w:r>
            <w:r w:rsidR="00AA2B64">
              <w:t xml:space="preserve">ast session, the legislature </w:t>
            </w:r>
            <w:r w:rsidR="0068508D">
              <w:t>revised</w:t>
            </w:r>
            <w:r w:rsidR="00B31A81">
              <w:t xml:space="preserve"> the rule against perpetuities</w:t>
            </w:r>
            <w:r w:rsidR="00AA2B64">
              <w:t xml:space="preserve">, which </w:t>
            </w:r>
            <w:r w:rsidR="00081382">
              <w:t xml:space="preserve">has </w:t>
            </w:r>
            <w:r w:rsidR="00B31A81">
              <w:t>cause</w:t>
            </w:r>
            <w:r w:rsidR="00081382">
              <w:t>d</w:t>
            </w:r>
            <w:r w:rsidR="00B31A81">
              <w:t xml:space="preserve"> </w:t>
            </w:r>
            <w:r>
              <w:t xml:space="preserve">some </w:t>
            </w:r>
            <w:r w:rsidR="00B31A81">
              <w:t xml:space="preserve">people to believe that they get an additional 300 years for each trust created by the original trust, </w:t>
            </w:r>
            <w:r w:rsidR="00825A01">
              <w:t xml:space="preserve">resulting in the belief that there is </w:t>
            </w:r>
            <w:r w:rsidR="00B31A81">
              <w:t xml:space="preserve">no rule against perpetuities. </w:t>
            </w:r>
            <w:r w:rsidR="00825A01">
              <w:t xml:space="preserve">And </w:t>
            </w:r>
            <w:r w:rsidR="00081382">
              <w:t xml:space="preserve">with respect to </w:t>
            </w:r>
            <w:r w:rsidR="00B31A81">
              <w:t xml:space="preserve">a trust decanted into a new trust, there is confusion about whether the new trust can keep the name and employer identification number of the original trust. </w:t>
            </w:r>
            <w:r w:rsidR="00081382">
              <w:t xml:space="preserve">Lastly, </w:t>
            </w:r>
            <w:r>
              <w:t xml:space="preserve">there is an incongruity in which </w:t>
            </w:r>
            <w:r w:rsidR="00B31A81">
              <w:t xml:space="preserve">a court appointing a guardian ad litem </w:t>
            </w:r>
            <w:r>
              <w:t xml:space="preserve">in a trust proceeding </w:t>
            </w:r>
            <w:r w:rsidR="00B31A81">
              <w:t xml:space="preserve">must make a finding that a person's interests are inadequately represented but the same finding is not required </w:t>
            </w:r>
            <w:r>
              <w:t xml:space="preserve">with respect to </w:t>
            </w:r>
            <w:r w:rsidR="00B31A81">
              <w:t xml:space="preserve">an attorney ad litem. </w:t>
            </w:r>
            <w:r>
              <w:t>C.S.</w:t>
            </w:r>
            <w:r w:rsidR="00B31A81">
              <w:t>H.B.</w:t>
            </w:r>
            <w:r w:rsidR="00964550">
              <w:t> </w:t>
            </w:r>
            <w:r w:rsidR="00B31A81">
              <w:t xml:space="preserve">2196 </w:t>
            </w:r>
            <w:r>
              <w:t xml:space="preserve">seeks to provide clarity to these issues in trust law. </w:t>
            </w:r>
          </w:p>
          <w:p w14:paraId="73684776" w14:textId="77777777" w:rsidR="008423E4" w:rsidRPr="00E26B13" w:rsidRDefault="008423E4" w:rsidP="000C7E31">
            <w:pPr>
              <w:rPr>
                <w:b/>
              </w:rPr>
            </w:pPr>
          </w:p>
        </w:tc>
      </w:tr>
      <w:tr w:rsidR="009A53B3" w14:paraId="554FEA3F" w14:textId="77777777" w:rsidTr="005E2F1D">
        <w:tc>
          <w:tcPr>
            <w:tcW w:w="9360" w:type="dxa"/>
          </w:tcPr>
          <w:p w14:paraId="11D3A065" w14:textId="77777777" w:rsidR="0017725B" w:rsidRDefault="00154A3E" w:rsidP="000C7E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BD0048" w14:textId="77777777" w:rsidR="0017725B" w:rsidRDefault="0017725B" w:rsidP="000C7E31">
            <w:pPr>
              <w:rPr>
                <w:b/>
                <w:u w:val="single"/>
              </w:rPr>
            </w:pPr>
          </w:p>
          <w:p w14:paraId="33C0C6D7" w14:textId="0E571998" w:rsidR="003114AA" w:rsidRPr="003114AA" w:rsidRDefault="00154A3E" w:rsidP="000C7E3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</w:t>
            </w:r>
            <w:r>
              <w:t>vision, parole, or mandatory supervision.</w:t>
            </w:r>
          </w:p>
          <w:p w14:paraId="0598E32D" w14:textId="77777777" w:rsidR="0017725B" w:rsidRPr="0017725B" w:rsidRDefault="0017725B" w:rsidP="000C7E31">
            <w:pPr>
              <w:rPr>
                <w:b/>
                <w:u w:val="single"/>
              </w:rPr>
            </w:pPr>
          </w:p>
        </w:tc>
      </w:tr>
      <w:tr w:rsidR="009A53B3" w14:paraId="39526BB8" w14:textId="77777777" w:rsidTr="005E2F1D">
        <w:tc>
          <w:tcPr>
            <w:tcW w:w="9360" w:type="dxa"/>
          </w:tcPr>
          <w:p w14:paraId="75DA55DD" w14:textId="77777777" w:rsidR="008423E4" w:rsidRPr="00A8133F" w:rsidRDefault="00154A3E" w:rsidP="000C7E3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41CFD77" w14:textId="77777777" w:rsidR="008423E4" w:rsidRDefault="008423E4" w:rsidP="000C7E31"/>
          <w:p w14:paraId="77349392" w14:textId="77777777" w:rsidR="003114AA" w:rsidRDefault="00154A3E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70E43F9" w14:textId="77777777" w:rsidR="008423E4" w:rsidRPr="00E21FDC" w:rsidRDefault="008423E4" w:rsidP="000C7E31">
            <w:pPr>
              <w:rPr>
                <w:b/>
              </w:rPr>
            </w:pPr>
          </w:p>
        </w:tc>
      </w:tr>
      <w:tr w:rsidR="009A53B3" w14:paraId="19268157" w14:textId="77777777" w:rsidTr="005E2F1D">
        <w:tc>
          <w:tcPr>
            <w:tcW w:w="9360" w:type="dxa"/>
          </w:tcPr>
          <w:p w14:paraId="29FB3787" w14:textId="77777777" w:rsidR="008423E4" w:rsidRPr="00A8133F" w:rsidRDefault="00154A3E" w:rsidP="000C7E3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58E0D09" w14:textId="77777777" w:rsidR="008423E4" w:rsidRDefault="008423E4" w:rsidP="000C7E31"/>
          <w:p w14:paraId="404E334F" w14:textId="1FF490B3" w:rsidR="006348D8" w:rsidRDefault="00154A3E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74420">
              <w:t xml:space="preserve">H.B. </w:t>
            </w:r>
            <w:r w:rsidR="00923178">
              <w:t xml:space="preserve">2196 </w:t>
            </w:r>
            <w:r w:rsidR="00874420">
              <w:t xml:space="preserve">amends the Property Code </w:t>
            </w:r>
            <w:r w:rsidR="00CB168D">
              <w:t xml:space="preserve">to </w:t>
            </w:r>
            <w:r w:rsidR="00E268B5">
              <w:t xml:space="preserve">revise the definition of "qualifying trust" </w:t>
            </w:r>
            <w:r w:rsidR="001341E1">
              <w:t>in</w:t>
            </w:r>
            <w:r w:rsidR="00CF7276">
              <w:t xml:space="preserve"> </w:t>
            </w:r>
            <w:r w:rsidR="00CB168D">
              <w:t xml:space="preserve">provisions </w:t>
            </w:r>
            <w:r w:rsidR="00E268B5">
              <w:t>governing which</w:t>
            </w:r>
            <w:r w:rsidR="00CF7276">
              <w:t xml:space="preserve"> property </w:t>
            </w:r>
            <w:r w:rsidR="00E268B5">
              <w:t xml:space="preserve">qualifies </w:t>
            </w:r>
            <w:r w:rsidR="00CF7276" w:rsidRPr="00CF7276">
              <w:t xml:space="preserve">as the homestead of </w:t>
            </w:r>
            <w:r w:rsidR="00CB168D">
              <w:t>an express</w:t>
            </w:r>
            <w:r w:rsidR="00CB168D" w:rsidRPr="00CF7276">
              <w:t xml:space="preserve"> </w:t>
            </w:r>
            <w:r w:rsidR="00E268B5">
              <w:t xml:space="preserve">trust's </w:t>
            </w:r>
            <w:r w:rsidR="00CF7276" w:rsidRPr="00CF7276">
              <w:t xml:space="preserve">settlor or beneficiary </w:t>
            </w:r>
            <w:r w:rsidR="00E268B5">
              <w:t>for purposes of certain protections</w:t>
            </w:r>
            <w:r w:rsidR="00CF7276">
              <w:t xml:space="preserve"> </w:t>
            </w:r>
            <w:r w:rsidR="00E268B5">
              <w:t xml:space="preserve">available under state law and the Texas Constitution </w:t>
            </w:r>
            <w:r w:rsidR="008C14F6">
              <w:t xml:space="preserve">in order </w:t>
            </w:r>
            <w:r w:rsidR="00E268B5">
              <w:t xml:space="preserve">to </w:t>
            </w:r>
            <w:r w:rsidR="00137DA9">
              <w:t xml:space="preserve">align </w:t>
            </w:r>
            <w:r w:rsidR="00E268B5">
              <w:t xml:space="preserve">that definition with the definition of "qualifying trust" used with respect to resident homestead property tax exemptions available under the Tax Code. </w:t>
            </w:r>
            <w:r w:rsidR="00CF7276">
              <w:t xml:space="preserve">The bill </w:t>
            </w:r>
            <w:r w:rsidR="00E268B5">
              <w:t xml:space="preserve">further </w:t>
            </w:r>
            <w:r w:rsidR="004B3440">
              <w:t xml:space="preserve">revises </w:t>
            </w:r>
            <w:r w:rsidR="00E268B5">
              <w:t xml:space="preserve">that definition </w:t>
            </w:r>
            <w:r w:rsidR="00E70A66">
              <w:t xml:space="preserve">to clarify </w:t>
            </w:r>
            <w:r w:rsidR="004B3440">
              <w:t>the</w:t>
            </w:r>
            <w:r w:rsidR="00CF7276">
              <w:t xml:space="preserve"> right</w:t>
            </w:r>
            <w:r w:rsidR="004B3440">
              <w:t>s</w:t>
            </w:r>
            <w:r w:rsidR="00CF7276">
              <w:t xml:space="preserve"> of </w:t>
            </w:r>
            <w:r w:rsidR="00E70A66">
              <w:t xml:space="preserve">a </w:t>
            </w:r>
            <w:r w:rsidR="00CF7276" w:rsidRPr="00CF7276">
              <w:t>settlor or beneficiary</w:t>
            </w:r>
            <w:r w:rsidR="00E70A66">
              <w:t xml:space="preserve"> of a qualifying trust.</w:t>
            </w:r>
          </w:p>
          <w:p w14:paraId="38EFB8EE" w14:textId="65F52499" w:rsidR="00DA44A7" w:rsidRDefault="00DA44A7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89DD73" w14:textId="7EEC93EF" w:rsidR="00C343C8" w:rsidRDefault="00154A3E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62182">
              <w:t>C.S.</w:t>
            </w:r>
            <w:r>
              <w:t xml:space="preserve">H.B. 2196 authorizes a second </w:t>
            </w:r>
            <w:r w:rsidRPr="00050252">
              <w:t>trust</w:t>
            </w:r>
            <w:r>
              <w:t xml:space="preserve"> created by distribution of principal </w:t>
            </w:r>
            <w:r w:rsidR="0074609E">
              <w:t xml:space="preserve">from an existing irrevocable inter vivos or testamentary trust </w:t>
            </w:r>
            <w:r>
              <w:t xml:space="preserve">to </w:t>
            </w:r>
            <w:r w:rsidRPr="00026864">
              <w:t>retain the name used by the first trust</w:t>
            </w:r>
            <w:r>
              <w:t xml:space="preserve"> and, subject </w:t>
            </w:r>
            <w:r>
              <w:t xml:space="preserve">to applicable federal law, also retain </w:t>
            </w:r>
            <w:r w:rsidRPr="00A11B0F">
              <w:t>the same tax identification number</w:t>
            </w:r>
            <w:r>
              <w:t>.</w:t>
            </w:r>
            <w:r w:rsidRPr="00A11B0F">
              <w:t xml:space="preserve"> </w:t>
            </w:r>
            <w:r>
              <w:t xml:space="preserve">The bill establishes that the legislature intends this to be </w:t>
            </w:r>
            <w:r w:rsidRPr="00B66B02">
              <w:t xml:space="preserve">a codification of </w:t>
            </w:r>
            <w:r>
              <w:t xml:space="preserve">state </w:t>
            </w:r>
            <w:r w:rsidRPr="00B66B02">
              <w:t xml:space="preserve">common law in effect immediately before the </w:t>
            </w:r>
            <w:r>
              <w:t xml:space="preserve">bill's </w:t>
            </w:r>
            <w:r w:rsidRPr="00B66B02">
              <w:t>effective date</w:t>
            </w:r>
            <w:r>
              <w:t>.</w:t>
            </w:r>
          </w:p>
          <w:p w14:paraId="2C556AF7" w14:textId="77777777" w:rsidR="00C343C8" w:rsidRDefault="00C343C8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3D75D8B" w14:textId="57E0CEAA" w:rsidR="00D967A7" w:rsidRDefault="00154A3E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62182">
              <w:t>C.S.</w:t>
            </w:r>
            <w:r w:rsidR="005E2F1D">
              <w:t>H.B. 2196</w:t>
            </w:r>
            <w:r>
              <w:t xml:space="preserve"> makes the foll</w:t>
            </w:r>
            <w:r>
              <w:t>owing changes</w:t>
            </w:r>
            <w:r w:rsidR="005E2F1D">
              <w:t xml:space="preserve"> with respect to the rule against perpetuities</w:t>
            </w:r>
            <w:r>
              <w:t>:</w:t>
            </w:r>
          </w:p>
          <w:p w14:paraId="3CE649D1" w14:textId="5594B51E" w:rsidR="005C613C" w:rsidRDefault="00154A3E" w:rsidP="000C7E31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clarifies that the effective date of a trust is the date the governing instrument creating an interest in the trust becomes irrevocable;</w:t>
            </w:r>
          </w:p>
          <w:p w14:paraId="25EF8DD9" w14:textId="06D53887" w:rsidR="00D967A7" w:rsidRDefault="00154A3E" w:rsidP="000C7E31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specifies that i</w:t>
            </w:r>
            <w:r w:rsidR="00FC595A" w:rsidRPr="00F71140">
              <w:t>f an interest in one trust is distributed to</w:t>
            </w:r>
            <w:r w:rsidR="00DA63FE">
              <w:t xml:space="preserve"> a</w:t>
            </w:r>
            <w:r w:rsidR="00FC595A" w:rsidRPr="00F71140">
              <w:t xml:space="preserve"> </w:t>
            </w:r>
            <w:r w:rsidR="0074609E" w:rsidRPr="00446088">
              <w:t>second</w:t>
            </w:r>
            <w:r w:rsidR="0074609E">
              <w:t xml:space="preserve"> </w:t>
            </w:r>
            <w:r w:rsidR="00FC595A" w:rsidRPr="00F71140">
              <w:t>trust with a different effective date, the effective date of that interest in the second trust becomes the earlier of the effective dates of the two trusts</w:t>
            </w:r>
            <w:r>
              <w:t>;</w:t>
            </w:r>
            <w:r w:rsidR="00FC595A">
              <w:t xml:space="preserve"> </w:t>
            </w:r>
            <w:r w:rsidR="003A5643">
              <w:t>and</w:t>
            </w:r>
          </w:p>
          <w:p w14:paraId="05511EAE" w14:textId="1B850705" w:rsidR="003A5643" w:rsidRDefault="00154A3E" w:rsidP="000C7E31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for a trust that has an </w:t>
            </w:r>
            <w:r w:rsidR="00FC595A">
              <w:t xml:space="preserve">effective date on or after September 1, 2021, </w:t>
            </w:r>
            <w:r>
              <w:t>requires an i</w:t>
            </w:r>
            <w:r>
              <w:t xml:space="preserve">nterest in the trust to vest </w:t>
            </w:r>
            <w:r w:rsidR="00FC595A">
              <w:t>not later than the later of</w:t>
            </w:r>
            <w:r>
              <w:t>:</w:t>
            </w:r>
            <w:r w:rsidR="00FC595A">
              <w:t xml:space="preserve"> </w:t>
            </w:r>
          </w:p>
          <w:p w14:paraId="5C1206D3" w14:textId="77777777" w:rsidR="003A5643" w:rsidRDefault="00154A3E" w:rsidP="000C7E31">
            <w:pPr>
              <w:pStyle w:val="Header"/>
              <w:numPr>
                <w:ilvl w:val="1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300 years after the effective date; or </w:t>
            </w:r>
          </w:p>
          <w:p w14:paraId="79956A8A" w14:textId="2E41B4D1" w:rsidR="00114825" w:rsidRDefault="00154A3E" w:rsidP="000C7E31">
            <w:pPr>
              <w:pStyle w:val="Header"/>
              <w:numPr>
                <w:ilvl w:val="1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21 years after some life in being at the time of the effective date, plus a period of gestation.</w:t>
            </w:r>
          </w:p>
          <w:p w14:paraId="75E47C2A" w14:textId="4BA42ABA" w:rsidR="00DA44A7" w:rsidRDefault="00DA44A7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6EFAF72" w14:textId="49CDDFC9" w:rsidR="003E2757" w:rsidRDefault="00154A3E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62182">
              <w:t>C.S.</w:t>
            </w:r>
            <w:r w:rsidR="00DF3A9D">
              <w:t xml:space="preserve">H.B. </w:t>
            </w:r>
            <w:r w:rsidR="00923178">
              <w:t xml:space="preserve">2196 </w:t>
            </w:r>
            <w:r w:rsidR="00874420">
              <w:t xml:space="preserve">prohibits a </w:t>
            </w:r>
            <w:r w:rsidR="00874420" w:rsidRPr="00874420">
              <w:t xml:space="preserve">beneficiary of </w:t>
            </w:r>
            <w:r w:rsidR="00874420">
              <w:t>a spendthrift</w:t>
            </w:r>
            <w:r w:rsidR="00874420" w:rsidRPr="00874420">
              <w:t xml:space="preserve"> trust or the </w:t>
            </w:r>
            <w:r w:rsidR="005547F3">
              <w:t xml:space="preserve">beneficiary's </w:t>
            </w:r>
            <w:r w:rsidR="00874420" w:rsidRPr="00874420">
              <w:t xml:space="preserve">estate </w:t>
            </w:r>
            <w:r w:rsidR="00874420">
              <w:t xml:space="preserve">from being considered </w:t>
            </w:r>
            <w:r w:rsidR="00874420" w:rsidRPr="00874420">
              <w:t>a settlor merely because t</w:t>
            </w:r>
            <w:r>
              <w:t>he beneficiary</w:t>
            </w:r>
            <w:r w:rsidR="005547F3">
              <w:t>, in any capacity,</w:t>
            </w:r>
            <w:r w:rsidR="00874420" w:rsidRPr="00874420">
              <w:t xml:space="preserve"> </w:t>
            </w:r>
            <w:r w:rsidR="00731879">
              <w:t>did any of the following</w:t>
            </w:r>
            <w:r>
              <w:t>:</w:t>
            </w:r>
          </w:p>
          <w:p w14:paraId="68FDDCCF" w14:textId="0CF5F6CF" w:rsidR="007F6A31" w:rsidRDefault="00154A3E" w:rsidP="000C7E31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held or exercised </w:t>
            </w:r>
            <w:r w:rsidR="007D0A67">
              <w:t>a testamentary power</w:t>
            </w:r>
            <w:r>
              <w:t xml:space="preserve"> of appointment</w:t>
            </w:r>
            <w:r w:rsidR="007D0A67">
              <w:t xml:space="preserve">, </w:t>
            </w:r>
            <w:r w:rsidR="007D0A67" w:rsidRPr="007D0A67">
              <w:t>other than a general power</w:t>
            </w:r>
            <w:r>
              <w:t xml:space="preserve"> of appointment</w:t>
            </w:r>
            <w:r w:rsidR="00333207">
              <w:t>, as that power is defined in the federal Internal Revenue Code of 1986</w:t>
            </w:r>
            <w:r>
              <w:t>;</w:t>
            </w:r>
          </w:p>
          <w:p w14:paraId="442A8DDE" w14:textId="0C78AEBD" w:rsidR="00847D78" w:rsidRDefault="00154A3E" w:rsidP="000C7E3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held </w:t>
            </w:r>
            <w:r w:rsidR="007F6A31" w:rsidRPr="007F6A31">
              <w:t>a testamentary general power of appointment</w:t>
            </w:r>
            <w:r w:rsidR="007F6A31">
              <w:t>; or</w:t>
            </w:r>
          </w:p>
          <w:p w14:paraId="2F91553E" w14:textId="4652EE08" w:rsidR="00874420" w:rsidRDefault="00154A3E" w:rsidP="000C7E3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exercised </w:t>
            </w:r>
            <w:r w:rsidRPr="00874420">
              <w:t xml:space="preserve">a testamentary general power </w:t>
            </w:r>
            <w:r w:rsidR="00333207">
              <w:t>of appointment in favor of</w:t>
            </w:r>
            <w:r w:rsidRPr="00874420">
              <w:t xml:space="preserve"> or for the benefit of </w:t>
            </w:r>
            <w:r w:rsidR="00333207">
              <w:t xml:space="preserve">the takers </w:t>
            </w:r>
            <w:r w:rsidRPr="00874420">
              <w:t xml:space="preserve">in default of the appointive </w:t>
            </w:r>
            <w:r w:rsidRPr="00874420">
              <w:t>assets.</w:t>
            </w:r>
          </w:p>
          <w:p w14:paraId="795545C2" w14:textId="77777777" w:rsidR="00731879" w:rsidRDefault="00731879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832E253" w14:textId="6B3A6394" w:rsidR="00556F03" w:rsidRDefault="00154A3E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62182">
              <w:t>C.S.</w:t>
            </w:r>
            <w:r w:rsidR="00731879">
              <w:t xml:space="preserve">H.B. </w:t>
            </w:r>
            <w:r w:rsidR="00923178">
              <w:t xml:space="preserve">2196 </w:t>
            </w:r>
            <w:r w:rsidR="00731879">
              <w:t>establishes that, if</w:t>
            </w:r>
            <w:r w:rsidR="00E84346">
              <w:t xml:space="preserve"> </w:t>
            </w:r>
            <w:r w:rsidR="00AD018B">
              <w:t xml:space="preserve">a beneficiary exercised </w:t>
            </w:r>
            <w:r w:rsidR="00731879">
              <w:t xml:space="preserve">a </w:t>
            </w:r>
            <w:r w:rsidR="00E84346">
              <w:t xml:space="preserve">testamentary </w:t>
            </w:r>
            <w:r w:rsidR="00E84346" w:rsidRPr="00E84346">
              <w:t>general</w:t>
            </w:r>
            <w:r w:rsidR="00E84346">
              <w:t xml:space="preserve"> power</w:t>
            </w:r>
            <w:r w:rsidR="00731879">
              <w:t xml:space="preserve"> of appointment in favor of or for the benefit of any appointee other than the takers in default of the appointive assets</w:t>
            </w:r>
            <w:r w:rsidR="00AD018B">
              <w:t xml:space="preserve">, the appointive assets are </w:t>
            </w:r>
            <w:r w:rsidR="00AD018B" w:rsidRPr="00AD018B">
              <w:t xml:space="preserve">subject to the claims of </w:t>
            </w:r>
            <w:r w:rsidR="00AD018B">
              <w:t xml:space="preserve">the beneficiary's </w:t>
            </w:r>
            <w:r w:rsidR="00AD018B" w:rsidRPr="00AD018B">
              <w:t>creditors, but only to the extent the beneficiary's own property is insufficient to meet the</w:t>
            </w:r>
            <w:r w:rsidR="00AD018B">
              <w:t>ir</w:t>
            </w:r>
            <w:r w:rsidR="00AD018B" w:rsidRPr="00AD018B">
              <w:t xml:space="preserve"> debts</w:t>
            </w:r>
            <w:r w:rsidR="00AD018B">
              <w:t>. The assets are expressly not subject to any of the following, unless appointed to the beneficiary's estate:</w:t>
            </w:r>
          </w:p>
          <w:p w14:paraId="71340B90" w14:textId="77777777" w:rsidR="00AD018B" w:rsidRDefault="00154A3E" w:rsidP="000C7E31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administration</w:t>
            </w:r>
            <w:r>
              <w:t xml:space="preserve"> as a part of the beneficiary's estate;</w:t>
            </w:r>
          </w:p>
          <w:p w14:paraId="18EF3FF2" w14:textId="292B0BF5" w:rsidR="00AD018B" w:rsidRDefault="00154A3E" w:rsidP="000C7E31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recovery by the personal representative of the beneficiary's estate, except as provided by the </w:t>
            </w:r>
            <w:r w:rsidR="00F00B9C">
              <w:t xml:space="preserve">federal </w:t>
            </w:r>
            <w:r>
              <w:t>Internal Revenue Code of 1986; or</w:t>
            </w:r>
          </w:p>
          <w:p w14:paraId="2EF90642" w14:textId="7F1DD1DB" w:rsidR="00F71140" w:rsidRDefault="00154A3E" w:rsidP="000C7E3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payment of taxes or administration expenses of the beneficiary's estate</w:t>
            </w:r>
            <w:r w:rsidR="00E84346">
              <w:t xml:space="preserve">. </w:t>
            </w:r>
          </w:p>
          <w:p w14:paraId="53A241DA" w14:textId="53E72131" w:rsidR="00F71140" w:rsidRDefault="00F71140" w:rsidP="000C7E31">
            <w:pPr>
              <w:pStyle w:val="Header"/>
              <w:jc w:val="both"/>
            </w:pPr>
          </w:p>
          <w:p w14:paraId="65733308" w14:textId="5AAE4F9D" w:rsidR="00D4523D" w:rsidRDefault="00154A3E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62182">
              <w:t>C.S.</w:t>
            </w:r>
            <w:r w:rsidR="00B66B02">
              <w:t xml:space="preserve">H.B. </w:t>
            </w:r>
            <w:r w:rsidR="00923178">
              <w:t xml:space="preserve">2196 </w:t>
            </w:r>
            <w:r w:rsidR="003114AA">
              <w:t>condition</w:t>
            </w:r>
            <w:r w:rsidR="00B66B02">
              <w:t>s</w:t>
            </w:r>
            <w:r w:rsidR="00026864">
              <w:t xml:space="preserve"> a court's authority to appoint </w:t>
            </w:r>
            <w:r w:rsidR="008A50A3">
              <w:t xml:space="preserve">an </w:t>
            </w:r>
            <w:r w:rsidR="0035761C" w:rsidRPr="00026864">
              <w:t>attorney ad litem</w:t>
            </w:r>
            <w:r w:rsidR="00026864" w:rsidRPr="00026864">
              <w:t xml:space="preserve"> to represent any interest that the court considers necessary</w:t>
            </w:r>
            <w:r w:rsidR="00026864">
              <w:t xml:space="preserve"> in a proceeding concerning </w:t>
            </w:r>
            <w:r w:rsidR="00B66B02">
              <w:t xml:space="preserve">a </w:t>
            </w:r>
            <w:r w:rsidR="00026864">
              <w:t xml:space="preserve">trust </w:t>
            </w:r>
            <w:r w:rsidR="00B66B02">
              <w:t>on</w:t>
            </w:r>
            <w:r w:rsidR="003114AA">
              <w:t xml:space="preserve"> the court </w:t>
            </w:r>
            <w:r w:rsidR="00B66B02">
              <w:t xml:space="preserve">first </w:t>
            </w:r>
            <w:r w:rsidR="003114AA">
              <w:t>determin</w:t>
            </w:r>
            <w:r w:rsidR="00B66B02">
              <w:t>ing</w:t>
            </w:r>
            <w:r w:rsidR="003114AA">
              <w:t xml:space="preserve"> </w:t>
            </w:r>
            <w:r w:rsidR="00B66B02">
              <w:t xml:space="preserve">that </w:t>
            </w:r>
            <w:r w:rsidR="00026864" w:rsidRPr="00026864">
              <w:t>representation of the interest otherwise would be inadequate.</w:t>
            </w:r>
            <w:r w:rsidR="003114AA">
              <w:t xml:space="preserve"> </w:t>
            </w:r>
          </w:p>
          <w:p w14:paraId="72320A09" w14:textId="41827005" w:rsidR="00762547" w:rsidRDefault="00762547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103A4C" w14:textId="16A63CB1" w:rsidR="00762547" w:rsidRDefault="00154A3E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62182">
              <w:t>C.S.</w:t>
            </w:r>
            <w:r>
              <w:t xml:space="preserve">H.B. </w:t>
            </w:r>
            <w:r w:rsidR="00923178">
              <w:t xml:space="preserve">2196 </w:t>
            </w:r>
            <w:r>
              <w:t>applies to a trust created before, on, or after the bill's effective date</w:t>
            </w:r>
            <w:r w:rsidR="000B348C">
              <w:t>, except as otherwise provided</w:t>
            </w:r>
            <w:r>
              <w:t>.</w:t>
            </w:r>
          </w:p>
          <w:p w14:paraId="0F79A98D" w14:textId="77777777" w:rsidR="003114AA" w:rsidRDefault="003114AA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96A526D" w14:textId="04682408" w:rsidR="003114AA" w:rsidRPr="009C36CD" w:rsidRDefault="00154A3E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62182">
              <w:t>C.S.</w:t>
            </w:r>
            <w:r>
              <w:t xml:space="preserve">H.B. </w:t>
            </w:r>
            <w:r w:rsidR="00923178">
              <w:t xml:space="preserve">2196 </w:t>
            </w:r>
            <w:r>
              <w:t xml:space="preserve">repeals </w:t>
            </w:r>
            <w:r w:rsidRPr="003114AA">
              <w:t>Section 112.0715(</w:t>
            </w:r>
            <w:r w:rsidR="008A50A3">
              <w:t>c</w:t>
            </w:r>
            <w:r w:rsidRPr="003114AA">
              <w:t>), Property Code</w:t>
            </w:r>
            <w:r>
              <w:t>.</w:t>
            </w:r>
          </w:p>
          <w:p w14:paraId="0EE8EF06" w14:textId="77777777" w:rsidR="008423E4" w:rsidRPr="00835628" w:rsidRDefault="008423E4" w:rsidP="000C7E31">
            <w:pPr>
              <w:rPr>
                <w:b/>
              </w:rPr>
            </w:pPr>
          </w:p>
        </w:tc>
      </w:tr>
      <w:tr w:rsidR="009A53B3" w14:paraId="5C70789A" w14:textId="77777777" w:rsidTr="005E2F1D">
        <w:tc>
          <w:tcPr>
            <w:tcW w:w="9360" w:type="dxa"/>
          </w:tcPr>
          <w:p w14:paraId="753C9702" w14:textId="77777777" w:rsidR="008423E4" w:rsidRPr="00A8133F" w:rsidRDefault="00154A3E" w:rsidP="000C7E3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7A0E9B" w14:textId="77777777" w:rsidR="008423E4" w:rsidRDefault="008423E4" w:rsidP="000C7E31"/>
          <w:p w14:paraId="558F12EB" w14:textId="68C4556E" w:rsidR="008423E4" w:rsidRPr="003624F2" w:rsidRDefault="00154A3E" w:rsidP="000C7E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</w:t>
            </w:r>
            <w:r>
              <w:t>receive the necessary vote, September 1, 2023.</w:t>
            </w:r>
          </w:p>
          <w:p w14:paraId="6CD5AD91" w14:textId="77777777" w:rsidR="008423E4" w:rsidRPr="00233FDB" w:rsidRDefault="008423E4" w:rsidP="000C7E31">
            <w:pPr>
              <w:rPr>
                <w:b/>
              </w:rPr>
            </w:pPr>
          </w:p>
        </w:tc>
      </w:tr>
      <w:tr w:rsidR="009A53B3" w14:paraId="6523A093" w14:textId="77777777" w:rsidTr="005E2F1D">
        <w:tc>
          <w:tcPr>
            <w:tcW w:w="9360" w:type="dxa"/>
          </w:tcPr>
          <w:p w14:paraId="39A73ABB" w14:textId="77777777" w:rsidR="00D74063" w:rsidRDefault="00154A3E" w:rsidP="000C7E3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81B13BC" w14:textId="77777777" w:rsidR="00867B68" w:rsidRDefault="00867B68" w:rsidP="000C7E31">
            <w:pPr>
              <w:jc w:val="both"/>
            </w:pPr>
          </w:p>
          <w:p w14:paraId="20C852B7" w14:textId="5EA9614D" w:rsidR="00867B68" w:rsidRDefault="00154A3E" w:rsidP="000C7E31">
            <w:pPr>
              <w:jc w:val="both"/>
            </w:pPr>
            <w:r>
              <w:t xml:space="preserve">While C.S.H.B. 2196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2306BF4F" w14:textId="7FA49FFC" w:rsidR="00FB334A" w:rsidRDefault="00FB334A" w:rsidP="000C7E31">
            <w:pPr>
              <w:jc w:val="both"/>
            </w:pPr>
          </w:p>
          <w:p w14:paraId="2B8EEAD5" w14:textId="4EAE7EF1" w:rsidR="00FB334A" w:rsidRDefault="00154A3E" w:rsidP="000C7E31">
            <w:pPr>
              <w:jc w:val="both"/>
            </w:pPr>
            <w:r>
              <w:t>The introduced repealed</w:t>
            </w:r>
            <w:r w:rsidR="006B5A10">
              <w:t xml:space="preserve"> the</w:t>
            </w:r>
            <w:r>
              <w:t xml:space="preserve"> provision that prohibits a settlor of a trust from </w:t>
            </w:r>
            <w:r w:rsidR="00E151DD">
              <w:t>directing that a real property asset be retained or refusing that such an asset be sold</w:t>
            </w:r>
            <w:r>
              <w:t xml:space="preserve"> for a period longer than 100 y</w:t>
            </w:r>
            <w:r>
              <w:t xml:space="preserve">ears </w:t>
            </w:r>
            <w:r w:rsidR="00E151DD">
              <w:t>an</w:t>
            </w:r>
            <w:r w:rsidR="00EB22F9">
              <w:t>d</w:t>
            </w:r>
            <w:r>
              <w:t xml:space="preserve"> also </w:t>
            </w:r>
            <w:r w:rsidR="00B46691">
              <w:t>established that, with respect to a trust that becomes irrevocable on or after September 1, 202</w:t>
            </w:r>
            <w:r w:rsidR="00E151DD">
              <w:t>1</w:t>
            </w:r>
            <w:r w:rsidR="00B46691">
              <w:t xml:space="preserve">, terms of a trust instrument restricting the sale or requiring the retention of a real property asset </w:t>
            </w:r>
            <w:r>
              <w:t xml:space="preserve">are unenforceable </w:t>
            </w:r>
            <w:r w:rsidR="00B46691">
              <w:t xml:space="preserve">after 100 years have elapsed from the trust's acquisition </w:t>
            </w:r>
            <w:r>
              <w:t xml:space="preserve">of the asset. The substitute does not repeal that Property Code provision or </w:t>
            </w:r>
            <w:r w:rsidR="00016384">
              <w:t xml:space="preserve">include a provision </w:t>
            </w:r>
            <w:r>
              <w:t>establish</w:t>
            </w:r>
            <w:r w:rsidR="00016384">
              <w:t xml:space="preserve">ing </w:t>
            </w:r>
            <w:r w:rsidR="00AC1D7C">
              <w:t xml:space="preserve">that </w:t>
            </w:r>
            <w:r w:rsidR="00016384">
              <w:t>such a term is unenforceable.</w:t>
            </w:r>
          </w:p>
          <w:p w14:paraId="2D6DB774" w14:textId="6ABF833F" w:rsidR="00867B68" w:rsidRPr="00867B68" w:rsidRDefault="00867B68" w:rsidP="000C7E31">
            <w:pPr>
              <w:jc w:val="both"/>
            </w:pPr>
          </w:p>
        </w:tc>
      </w:tr>
    </w:tbl>
    <w:p w14:paraId="75291533" w14:textId="77777777" w:rsidR="00847D78" w:rsidRPr="008423E4" w:rsidRDefault="00847D78" w:rsidP="000C7E31"/>
    <w:sectPr w:rsidR="00847D78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7509" w14:textId="77777777" w:rsidR="00000000" w:rsidRDefault="00154A3E">
      <w:r>
        <w:separator/>
      </w:r>
    </w:p>
  </w:endnote>
  <w:endnote w:type="continuationSeparator" w:id="0">
    <w:p w14:paraId="252BCE53" w14:textId="77777777" w:rsidR="00000000" w:rsidRDefault="0015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C36C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A53B3" w14:paraId="218305B5" w14:textId="77777777" w:rsidTr="009C1E9A">
      <w:trPr>
        <w:cantSplit/>
      </w:trPr>
      <w:tc>
        <w:tcPr>
          <w:tcW w:w="0" w:type="pct"/>
        </w:tcPr>
        <w:p w14:paraId="00133A57" w14:textId="35D88A3D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B1CC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EC4F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B6BD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492DF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A53B3" w14:paraId="7ED9472F" w14:textId="77777777" w:rsidTr="009C1E9A">
      <w:trPr>
        <w:cantSplit/>
      </w:trPr>
      <w:tc>
        <w:tcPr>
          <w:tcW w:w="0" w:type="pct"/>
        </w:tcPr>
        <w:p w14:paraId="3A7EB5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017F7E" w14:textId="18061244" w:rsidR="00EC379B" w:rsidRPr="009C1E9A" w:rsidRDefault="00154A3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22133-D</w:t>
          </w:r>
        </w:p>
      </w:tc>
      <w:tc>
        <w:tcPr>
          <w:tcW w:w="2453" w:type="pct"/>
        </w:tcPr>
        <w:p w14:paraId="1684C72A" w14:textId="3755A620" w:rsidR="00EC379B" w:rsidRDefault="00154A3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13951">
            <w:t>23.95.197</w:t>
          </w:r>
          <w:r>
            <w:fldChar w:fldCharType="end"/>
          </w:r>
        </w:p>
      </w:tc>
    </w:tr>
    <w:tr w:rsidR="009A53B3" w14:paraId="0924CF20" w14:textId="77777777" w:rsidTr="009C1E9A">
      <w:trPr>
        <w:cantSplit/>
      </w:trPr>
      <w:tc>
        <w:tcPr>
          <w:tcW w:w="0" w:type="pct"/>
        </w:tcPr>
        <w:p w14:paraId="708CC75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C92D33" w14:textId="49DDA899" w:rsidR="00EC379B" w:rsidRPr="009C1E9A" w:rsidRDefault="00154A3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19575</w:t>
          </w:r>
        </w:p>
      </w:tc>
      <w:tc>
        <w:tcPr>
          <w:tcW w:w="2453" w:type="pct"/>
        </w:tcPr>
        <w:p w14:paraId="37D7E57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8A6A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A53B3" w14:paraId="6B9AEB5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42AC6A1" w14:textId="6568D509" w:rsidR="00EC379B" w:rsidRDefault="00154A3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A03C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5812FD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142DDA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449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1749" w14:textId="77777777" w:rsidR="00000000" w:rsidRDefault="00154A3E">
      <w:r>
        <w:separator/>
      </w:r>
    </w:p>
  </w:footnote>
  <w:footnote w:type="continuationSeparator" w:id="0">
    <w:p w14:paraId="5821B05E" w14:textId="77777777" w:rsidR="00000000" w:rsidRDefault="0015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8F4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9C0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4B2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30FA"/>
    <w:multiLevelType w:val="hybridMultilevel"/>
    <w:tmpl w:val="625E3FE0"/>
    <w:lvl w:ilvl="0" w:tplc="F314E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27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E9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85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A6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83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4C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6F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89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0A27"/>
    <w:multiLevelType w:val="hybridMultilevel"/>
    <w:tmpl w:val="520C228E"/>
    <w:lvl w:ilvl="0" w:tplc="91AE6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CA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05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A8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20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E0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AA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B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BC6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3FAA"/>
    <w:multiLevelType w:val="hybridMultilevel"/>
    <w:tmpl w:val="57E45244"/>
    <w:lvl w:ilvl="0" w:tplc="B950B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45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41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06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29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E4D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E9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87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A8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B32A6"/>
    <w:multiLevelType w:val="hybridMultilevel"/>
    <w:tmpl w:val="786C27E4"/>
    <w:lvl w:ilvl="0" w:tplc="3C700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22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CF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E4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1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7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42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2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87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A7874"/>
    <w:multiLevelType w:val="hybridMultilevel"/>
    <w:tmpl w:val="A9ACA184"/>
    <w:lvl w:ilvl="0" w:tplc="09EC0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8D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C2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0A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0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BA3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B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C5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65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95F3E"/>
    <w:multiLevelType w:val="hybridMultilevel"/>
    <w:tmpl w:val="406279E8"/>
    <w:lvl w:ilvl="0" w:tplc="F7481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C24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66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A3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62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D00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26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4F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C27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C492D"/>
    <w:multiLevelType w:val="hybridMultilevel"/>
    <w:tmpl w:val="EC120E62"/>
    <w:lvl w:ilvl="0" w:tplc="FC5E5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2C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2B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A1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4D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88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EC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E1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09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85EE7"/>
    <w:multiLevelType w:val="hybridMultilevel"/>
    <w:tmpl w:val="088C1DE8"/>
    <w:lvl w:ilvl="0" w:tplc="023E6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89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E3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65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0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0C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A7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C4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49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0334B"/>
    <w:multiLevelType w:val="hybridMultilevel"/>
    <w:tmpl w:val="29D0708C"/>
    <w:lvl w:ilvl="0" w:tplc="94167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08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C0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28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6C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2D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A8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63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C8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6788">
    <w:abstractNumId w:val="7"/>
  </w:num>
  <w:num w:numId="2" w16cid:durableId="486215654">
    <w:abstractNumId w:val="4"/>
  </w:num>
  <w:num w:numId="3" w16cid:durableId="668941731">
    <w:abstractNumId w:val="2"/>
  </w:num>
  <w:num w:numId="4" w16cid:durableId="362095230">
    <w:abstractNumId w:val="8"/>
  </w:num>
  <w:num w:numId="5" w16cid:durableId="1209799414">
    <w:abstractNumId w:val="3"/>
  </w:num>
  <w:num w:numId="6" w16cid:durableId="69666632">
    <w:abstractNumId w:val="5"/>
  </w:num>
  <w:num w:numId="7" w16cid:durableId="648747829">
    <w:abstractNumId w:val="6"/>
  </w:num>
  <w:num w:numId="8" w16cid:durableId="581912471">
    <w:abstractNumId w:val="1"/>
  </w:num>
  <w:num w:numId="9" w16cid:durableId="3631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87"/>
    <w:rsid w:val="00000A70"/>
    <w:rsid w:val="000032B8"/>
    <w:rsid w:val="00003B06"/>
    <w:rsid w:val="000054B9"/>
    <w:rsid w:val="00007461"/>
    <w:rsid w:val="00007686"/>
    <w:rsid w:val="0001117E"/>
    <w:rsid w:val="0001125F"/>
    <w:rsid w:val="00012FFD"/>
    <w:rsid w:val="0001338E"/>
    <w:rsid w:val="00013D24"/>
    <w:rsid w:val="00014AF0"/>
    <w:rsid w:val="000155D6"/>
    <w:rsid w:val="00015D4E"/>
    <w:rsid w:val="00016384"/>
    <w:rsid w:val="00020C1E"/>
    <w:rsid w:val="00020E9B"/>
    <w:rsid w:val="000236C1"/>
    <w:rsid w:val="000236EC"/>
    <w:rsid w:val="0002413D"/>
    <w:rsid w:val="000249F2"/>
    <w:rsid w:val="00026864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252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382"/>
    <w:rsid w:val="000813B7"/>
    <w:rsid w:val="0008772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48C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E31"/>
    <w:rsid w:val="000C7F1D"/>
    <w:rsid w:val="000D129B"/>
    <w:rsid w:val="000D27B4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044"/>
    <w:rsid w:val="0011274A"/>
    <w:rsid w:val="00113522"/>
    <w:rsid w:val="0011378D"/>
    <w:rsid w:val="00114825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41E1"/>
    <w:rsid w:val="001374E6"/>
    <w:rsid w:val="00137D90"/>
    <w:rsid w:val="00137DA9"/>
    <w:rsid w:val="0014095C"/>
    <w:rsid w:val="00141FB6"/>
    <w:rsid w:val="00142F8E"/>
    <w:rsid w:val="00143C8B"/>
    <w:rsid w:val="001472D4"/>
    <w:rsid w:val="00147530"/>
    <w:rsid w:val="0015331F"/>
    <w:rsid w:val="00153914"/>
    <w:rsid w:val="00154A3E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06D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4B4B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CF9"/>
    <w:rsid w:val="00224C37"/>
    <w:rsid w:val="002304DF"/>
    <w:rsid w:val="00231C39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915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DC4"/>
    <w:rsid w:val="002D305A"/>
    <w:rsid w:val="002E035C"/>
    <w:rsid w:val="002E21B8"/>
    <w:rsid w:val="002E7DF9"/>
    <w:rsid w:val="002F097B"/>
    <w:rsid w:val="002F25BF"/>
    <w:rsid w:val="002F3111"/>
    <w:rsid w:val="002F4AEC"/>
    <w:rsid w:val="002F795D"/>
    <w:rsid w:val="00300823"/>
    <w:rsid w:val="00300D7F"/>
    <w:rsid w:val="00301638"/>
    <w:rsid w:val="003016FD"/>
    <w:rsid w:val="00303B0C"/>
    <w:rsid w:val="0030459C"/>
    <w:rsid w:val="00304CD1"/>
    <w:rsid w:val="003114AA"/>
    <w:rsid w:val="00313DFE"/>
    <w:rsid w:val="003143B2"/>
    <w:rsid w:val="00314821"/>
    <w:rsid w:val="0031483F"/>
    <w:rsid w:val="0031741B"/>
    <w:rsid w:val="00321337"/>
    <w:rsid w:val="00321F2F"/>
    <w:rsid w:val="00322B51"/>
    <w:rsid w:val="003237F6"/>
    <w:rsid w:val="00324077"/>
    <w:rsid w:val="0032453B"/>
    <w:rsid w:val="00324868"/>
    <w:rsid w:val="003263E5"/>
    <w:rsid w:val="003305F5"/>
    <w:rsid w:val="00333207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61C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F5F"/>
    <w:rsid w:val="003A0296"/>
    <w:rsid w:val="003A10BC"/>
    <w:rsid w:val="003A2FC0"/>
    <w:rsid w:val="003A5643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C14"/>
    <w:rsid w:val="003B66B6"/>
    <w:rsid w:val="003B7984"/>
    <w:rsid w:val="003B7AF6"/>
    <w:rsid w:val="003C0411"/>
    <w:rsid w:val="003C1871"/>
    <w:rsid w:val="003C1C55"/>
    <w:rsid w:val="003C208E"/>
    <w:rsid w:val="003C25EA"/>
    <w:rsid w:val="003C36FD"/>
    <w:rsid w:val="003C664C"/>
    <w:rsid w:val="003D726D"/>
    <w:rsid w:val="003E0875"/>
    <w:rsid w:val="003E0BB8"/>
    <w:rsid w:val="003E2757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79"/>
    <w:rsid w:val="004174CD"/>
    <w:rsid w:val="0042399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CAD"/>
    <w:rsid w:val="00446088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05F"/>
    <w:rsid w:val="004A03F7"/>
    <w:rsid w:val="004A081C"/>
    <w:rsid w:val="004A123F"/>
    <w:rsid w:val="004A2172"/>
    <w:rsid w:val="004B138F"/>
    <w:rsid w:val="004B3440"/>
    <w:rsid w:val="004B412A"/>
    <w:rsid w:val="004B576C"/>
    <w:rsid w:val="004B772A"/>
    <w:rsid w:val="004C302F"/>
    <w:rsid w:val="004C363A"/>
    <w:rsid w:val="004C4609"/>
    <w:rsid w:val="004C4B8A"/>
    <w:rsid w:val="004C52EF"/>
    <w:rsid w:val="004C5F34"/>
    <w:rsid w:val="004C600C"/>
    <w:rsid w:val="004C70F1"/>
    <w:rsid w:val="004C7888"/>
    <w:rsid w:val="004D1AC9"/>
    <w:rsid w:val="004D27DE"/>
    <w:rsid w:val="004D3F41"/>
    <w:rsid w:val="004D5098"/>
    <w:rsid w:val="004D6497"/>
    <w:rsid w:val="004D6DA9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7A0"/>
    <w:rsid w:val="0051324D"/>
    <w:rsid w:val="00515466"/>
    <w:rsid w:val="005154F7"/>
    <w:rsid w:val="005159DE"/>
    <w:rsid w:val="00520EFA"/>
    <w:rsid w:val="005249C5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7F3"/>
    <w:rsid w:val="00555034"/>
    <w:rsid w:val="00556F03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B97"/>
    <w:rsid w:val="00592C9A"/>
    <w:rsid w:val="00593DF8"/>
    <w:rsid w:val="00595745"/>
    <w:rsid w:val="005A0E18"/>
    <w:rsid w:val="005A12A5"/>
    <w:rsid w:val="005A3790"/>
    <w:rsid w:val="005A3CCB"/>
    <w:rsid w:val="005A5B37"/>
    <w:rsid w:val="005A6D13"/>
    <w:rsid w:val="005B031F"/>
    <w:rsid w:val="005B3298"/>
    <w:rsid w:val="005B5516"/>
    <w:rsid w:val="005B5D2B"/>
    <w:rsid w:val="005C1496"/>
    <w:rsid w:val="005C17C5"/>
    <w:rsid w:val="005C19AA"/>
    <w:rsid w:val="005C2B21"/>
    <w:rsid w:val="005C2C00"/>
    <w:rsid w:val="005C4C6F"/>
    <w:rsid w:val="005C5127"/>
    <w:rsid w:val="005C613C"/>
    <w:rsid w:val="005C7CCB"/>
    <w:rsid w:val="005D0823"/>
    <w:rsid w:val="005D1444"/>
    <w:rsid w:val="005D4DAE"/>
    <w:rsid w:val="005D6D4C"/>
    <w:rsid w:val="005D767D"/>
    <w:rsid w:val="005D7A30"/>
    <w:rsid w:val="005D7D3B"/>
    <w:rsid w:val="005E1999"/>
    <w:rsid w:val="005E232C"/>
    <w:rsid w:val="005E2B83"/>
    <w:rsid w:val="005E2F1D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449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8D8"/>
    <w:rsid w:val="006402E7"/>
    <w:rsid w:val="00640CB6"/>
    <w:rsid w:val="00641B42"/>
    <w:rsid w:val="00645191"/>
    <w:rsid w:val="00645750"/>
    <w:rsid w:val="00650692"/>
    <w:rsid w:val="006508D3"/>
    <w:rsid w:val="00650AFA"/>
    <w:rsid w:val="0065764C"/>
    <w:rsid w:val="00662B77"/>
    <w:rsid w:val="00662D0E"/>
    <w:rsid w:val="00663265"/>
    <w:rsid w:val="0066345F"/>
    <w:rsid w:val="0066485B"/>
    <w:rsid w:val="0067036E"/>
    <w:rsid w:val="00671693"/>
    <w:rsid w:val="00674AA2"/>
    <w:rsid w:val="006757AA"/>
    <w:rsid w:val="00680065"/>
    <w:rsid w:val="0068127E"/>
    <w:rsid w:val="00681790"/>
    <w:rsid w:val="006823AA"/>
    <w:rsid w:val="00684B98"/>
    <w:rsid w:val="0068508D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A7A7C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A10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103"/>
    <w:rsid w:val="0073163C"/>
    <w:rsid w:val="00731879"/>
    <w:rsid w:val="00731DE3"/>
    <w:rsid w:val="00735B9D"/>
    <w:rsid w:val="007365A5"/>
    <w:rsid w:val="00736AB0"/>
    <w:rsid w:val="00736FB0"/>
    <w:rsid w:val="007404BC"/>
    <w:rsid w:val="00740D13"/>
    <w:rsid w:val="00740F5F"/>
    <w:rsid w:val="00742794"/>
    <w:rsid w:val="00743C4C"/>
    <w:rsid w:val="007445B7"/>
    <w:rsid w:val="00744920"/>
    <w:rsid w:val="0074609E"/>
    <w:rsid w:val="00746F2A"/>
    <w:rsid w:val="007509BE"/>
    <w:rsid w:val="0075287B"/>
    <w:rsid w:val="00754ADC"/>
    <w:rsid w:val="00754EE3"/>
    <w:rsid w:val="00755C7B"/>
    <w:rsid w:val="0076254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1FF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52E"/>
    <w:rsid w:val="007B4FCA"/>
    <w:rsid w:val="007B7B85"/>
    <w:rsid w:val="007C462E"/>
    <w:rsid w:val="007C496B"/>
    <w:rsid w:val="007C6803"/>
    <w:rsid w:val="007D0A67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A3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5A01"/>
    <w:rsid w:val="00827749"/>
    <w:rsid w:val="00827B7E"/>
    <w:rsid w:val="00830EEB"/>
    <w:rsid w:val="008347A9"/>
    <w:rsid w:val="00835628"/>
    <w:rsid w:val="00835E90"/>
    <w:rsid w:val="0083716D"/>
    <w:rsid w:val="0084176D"/>
    <w:rsid w:val="008423E4"/>
    <w:rsid w:val="00842900"/>
    <w:rsid w:val="00847D78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B68"/>
    <w:rsid w:val="0087096C"/>
    <w:rsid w:val="00871775"/>
    <w:rsid w:val="00871AEF"/>
    <w:rsid w:val="008726E5"/>
    <w:rsid w:val="0087289E"/>
    <w:rsid w:val="00874420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30DF"/>
    <w:rsid w:val="008947A7"/>
    <w:rsid w:val="00897E80"/>
    <w:rsid w:val="008A04FA"/>
    <w:rsid w:val="008A3188"/>
    <w:rsid w:val="008A3FDF"/>
    <w:rsid w:val="008A50A3"/>
    <w:rsid w:val="008A6418"/>
    <w:rsid w:val="008B05D8"/>
    <w:rsid w:val="008B0B3D"/>
    <w:rsid w:val="008B2B1A"/>
    <w:rsid w:val="008B3428"/>
    <w:rsid w:val="008B7785"/>
    <w:rsid w:val="008C0809"/>
    <w:rsid w:val="008C132C"/>
    <w:rsid w:val="008C14F6"/>
    <w:rsid w:val="008C3FD0"/>
    <w:rsid w:val="008D27A5"/>
    <w:rsid w:val="008D2AAB"/>
    <w:rsid w:val="008D309C"/>
    <w:rsid w:val="008D58F9"/>
    <w:rsid w:val="008D6270"/>
    <w:rsid w:val="008E3338"/>
    <w:rsid w:val="008E3A2B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11E"/>
    <w:rsid w:val="00920711"/>
    <w:rsid w:val="00921A1E"/>
    <w:rsid w:val="00923178"/>
    <w:rsid w:val="00924EA9"/>
    <w:rsid w:val="00925CE1"/>
    <w:rsid w:val="00925F5C"/>
    <w:rsid w:val="00930897"/>
    <w:rsid w:val="009320D2"/>
    <w:rsid w:val="00932C77"/>
    <w:rsid w:val="00932FCD"/>
    <w:rsid w:val="0093417F"/>
    <w:rsid w:val="00934AC2"/>
    <w:rsid w:val="009375BB"/>
    <w:rsid w:val="009418E9"/>
    <w:rsid w:val="00943F4A"/>
    <w:rsid w:val="00946044"/>
    <w:rsid w:val="009465AB"/>
    <w:rsid w:val="00946DEE"/>
    <w:rsid w:val="00947C25"/>
    <w:rsid w:val="00953499"/>
    <w:rsid w:val="00954A16"/>
    <w:rsid w:val="0095696D"/>
    <w:rsid w:val="00964550"/>
    <w:rsid w:val="0096482F"/>
    <w:rsid w:val="00964E3A"/>
    <w:rsid w:val="00967001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86C"/>
    <w:rsid w:val="00987F00"/>
    <w:rsid w:val="0099403D"/>
    <w:rsid w:val="00995B0B"/>
    <w:rsid w:val="009A1883"/>
    <w:rsid w:val="009A39F5"/>
    <w:rsid w:val="009A4588"/>
    <w:rsid w:val="009A53B3"/>
    <w:rsid w:val="009A5EA5"/>
    <w:rsid w:val="009B00C2"/>
    <w:rsid w:val="009B26AB"/>
    <w:rsid w:val="009B3476"/>
    <w:rsid w:val="009B39BC"/>
    <w:rsid w:val="009B3B50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7AC6"/>
    <w:rsid w:val="00A0042D"/>
    <w:rsid w:val="00A0053A"/>
    <w:rsid w:val="00A00C33"/>
    <w:rsid w:val="00A01103"/>
    <w:rsid w:val="00A012C0"/>
    <w:rsid w:val="00A014BB"/>
    <w:rsid w:val="00A01E10"/>
    <w:rsid w:val="00A02D81"/>
    <w:rsid w:val="00A030F2"/>
    <w:rsid w:val="00A03F54"/>
    <w:rsid w:val="00A0432D"/>
    <w:rsid w:val="00A07689"/>
    <w:rsid w:val="00A07906"/>
    <w:rsid w:val="00A10908"/>
    <w:rsid w:val="00A11B0F"/>
    <w:rsid w:val="00A12330"/>
    <w:rsid w:val="00A1259F"/>
    <w:rsid w:val="00A1446F"/>
    <w:rsid w:val="00A14502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517"/>
    <w:rsid w:val="00A35D66"/>
    <w:rsid w:val="00A41085"/>
    <w:rsid w:val="00A425FA"/>
    <w:rsid w:val="00A43960"/>
    <w:rsid w:val="00A459ED"/>
    <w:rsid w:val="00A46902"/>
    <w:rsid w:val="00A47F7F"/>
    <w:rsid w:val="00A50CDB"/>
    <w:rsid w:val="00A51F3E"/>
    <w:rsid w:val="00A52E54"/>
    <w:rsid w:val="00A5364B"/>
    <w:rsid w:val="00A54142"/>
    <w:rsid w:val="00A54C42"/>
    <w:rsid w:val="00A5542D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9C7"/>
    <w:rsid w:val="00A95D51"/>
    <w:rsid w:val="00AA18AE"/>
    <w:rsid w:val="00AA228B"/>
    <w:rsid w:val="00AA2B64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1D7C"/>
    <w:rsid w:val="00AC2E9A"/>
    <w:rsid w:val="00AC5AAB"/>
    <w:rsid w:val="00AC5AEC"/>
    <w:rsid w:val="00AC5F28"/>
    <w:rsid w:val="00AC6553"/>
    <w:rsid w:val="00AC6900"/>
    <w:rsid w:val="00AD018B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D89"/>
    <w:rsid w:val="00AF48B4"/>
    <w:rsid w:val="00AF4923"/>
    <w:rsid w:val="00AF7C74"/>
    <w:rsid w:val="00B000AF"/>
    <w:rsid w:val="00B04E79"/>
    <w:rsid w:val="00B07488"/>
    <w:rsid w:val="00B075A2"/>
    <w:rsid w:val="00B10DD2"/>
    <w:rsid w:val="00B10E0A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A81"/>
    <w:rsid w:val="00B31F0E"/>
    <w:rsid w:val="00B34F25"/>
    <w:rsid w:val="00B43672"/>
    <w:rsid w:val="00B46691"/>
    <w:rsid w:val="00B473D8"/>
    <w:rsid w:val="00B5165A"/>
    <w:rsid w:val="00B524C1"/>
    <w:rsid w:val="00B52C8D"/>
    <w:rsid w:val="00B564BF"/>
    <w:rsid w:val="00B6104E"/>
    <w:rsid w:val="00B610C7"/>
    <w:rsid w:val="00B62106"/>
    <w:rsid w:val="00B62182"/>
    <w:rsid w:val="00B626A8"/>
    <w:rsid w:val="00B65695"/>
    <w:rsid w:val="00B66526"/>
    <w:rsid w:val="00B665A3"/>
    <w:rsid w:val="00B66B02"/>
    <w:rsid w:val="00B73BB4"/>
    <w:rsid w:val="00B80532"/>
    <w:rsid w:val="00B82039"/>
    <w:rsid w:val="00B82454"/>
    <w:rsid w:val="00B90097"/>
    <w:rsid w:val="00B90999"/>
    <w:rsid w:val="00B90A43"/>
    <w:rsid w:val="00B91AD7"/>
    <w:rsid w:val="00B92D23"/>
    <w:rsid w:val="00B95BC8"/>
    <w:rsid w:val="00B96E87"/>
    <w:rsid w:val="00BA146A"/>
    <w:rsid w:val="00BA32EE"/>
    <w:rsid w:val="00BA4053"/>
    <w:rsid w:val="00BB1F49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43D"/>
    <w:rsid w:val="00BE71CD"/>
    <w:rsid w:val="00BE7748"/>
    <w:rsid w:val="00BE7887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3C8"/>
    <w:rsid w:val="00C35CC5"/>
    <w:rsid w:val="00C361C5"/>
    <w:rsid w:val="00C377D1"/>
    <w:rsid w:val="00C37BDA"/>
    <w:rsid w:val="00C37C84"/>
    <w:rsid w:val="00C407C5"/>
    <w:rsid w:val="00C42B41"/>
    <w:rsid w:val="00C46166"/>
    <w:rsid w:val="00C461F1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20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3C8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68D"/>
    <w:rsid w:val="00CB3627"/>
    <w:rsid w:val="00CB3F9F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CA9"/>
    <w:rsid w:val="00CE3E20"/>
    <w:rsid w:val="00CF4827"/>
    <w:rsid w:val="00CF4C69"/>
    <w:rsid w:val="00CF581C"/>
    <w:rsid w:val="00CF7065"/>
    <w:rsid w:val="00CF71E0"/>
    <w:rsid w:val="00CF7276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523D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063"/>
    <w:rsid w:val="00D76631"/>
    <w:rsid w:val="00D768B7"/>
    <w:rsid w:val="00D77492"/>
    <w:rsid w:val="00D811E8"/>
    <w:rsid w:val="00D81A44"/>
    <w:rsid w:val="00D83072"/>
    <w:rsid w:val="00D83ABC"/>
    <w:rsid w:val="00D84870"/>
    <w:rsid w:val="00D8525F"/>
    <w:rsid w:val="00D91B92"/>
    <w:rsid w:val="00D92620"/>
    <w:rsid w:val="00D926B3"/>
    <w:rsid w:val="00D92F63"/>
    <w:rsid w:val="00D947B6"/>
    <w:rsid w:val="00D967A7"/>
    <w:rsid w:val="00D97E00"/>
    <w:rsid w:val="00DA00BC"/>
    <w:rsid w:val="00DA0E22"/>
    <w:rsid w:val="00DA1EFA"/>
    <w:rsid w:val="00DA25E7"/>
    <w:rsid w:val="00DA3687"/>
    <w:rsid w:val="00DA39F2"/>
    <w:rsid w:val="00DA44A7"/>
    <w:rsid w:val="00DA564B"/>
    <w:rsid w:val="00DA63FE"/>
    <w:rsid w:val="00DA6A5C"/>
    <w:rsid w:val="00DB18B2"/>
    <w:rsid w:val="00DB311F"/>
    <w:rsid w:val="00DB48DC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3A9D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3951"/>
    <w:rsid w:val="00E14079"/>
    <w:rsid w:val="00E151DD"/>
    <w:rsid w:val="00E15F90"/>
    <w:rsid w:val="00E16D3E"/>
    <w:rsid w:val="00E17167"/>
    <w:rsid w:val="00E20520"/>
    <w:rsid w:val="00E21D55"/>
    <w:rsid w:val="00E21FDC"/>
    <w:rsid w:val="00E2551E"/>
    <w:rsid w:val="00E268B5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A66"/>
    <w:rsid w:val="00E70CC6"/>
    <w:rsid w:val="00E71254"/>
    <w:rsid w:val="00E73CCD"/>
    <w:rsid w:val="00E75765"/>
    <w:rsid w:val="00E76453"/>
    <w:rsid w:val="00E76A8D"/>
    <w:rsid w:val="00E77353"/>
    <w:rsid w:val="00E775AE"/>
    <w:rsid w:val="00E8272C"/>
    <w:rsid w:val="00E827C7"/>
    <w:rsid w:val="00E84346"/>
    <w:rsid w:val="00E85DBD"/>
    <w:rsid w:val="00E87A99"/>
    <w:rsid w:val="00E90702"/>
    <w:rsid w:val="00E90CFD"/>
    <w:rsid w:val="00E9110A"/>
    <w:rsid w:val="00E91A97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2F9"/>
    <w:rsid w:val="00EB27F2"/>
    <w:rsid w:val="00EB3928"/>
    <w:rsid w:val="00EB5373"/>
    <w:rsid w:val="00EC02A2"/>
    <w:rsid w:val="00EC33EC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B94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B9C"/>
    <w:rsid w:val="00F01DFA"/>
    <w:rsid w:val="00F02096"/>
    <w:rsid w:val="00F02457"/>
    <w:rsid w:val="00F036C3"/>
    <w:rsid w:val="00F0417E"/>
    <w:rsid w:val="00F05397"/>
    <w:rsid w:val="00F0638C"/>
    <w:rsid w:val="00F06B0B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490D"/>
    <w:rsid w:val="00F5605D"/>
    <w:rsid w:val="00F57FDD"/>
    <w:rsid w:val="00F6514B"/>
    <w:rsid w:val="00F6587F"/>
    <w:rsid w:val="00F67981"/>
    <w:rsid w:val="00F706CA"/>
    <w:rsid w:val="00F70F8D"/>
    <w:rsid w:val="00F71140"/>
    <w:rsid w:val="00F71C5A"/>
    <w:rsid w:val="00F721B9"/>
    <w:rsid w:val="00F733A4"/>
    <w:rsid w:val="00F7758F"/>
    <w:rsid w:val="00F82811"/>
    <w:rsid w:val="00F84153"/>
    <w:rsid w:val="00F85661"/>
    <w:rsid w:val="00F959EE"/>
    <w:rsid w:val="00F96602"/>
    <w:rsid w:val="00F9735A"/>
    <w:rsid w:val="00FA32FC"/>
    <w:rsid w:val="00FA59FD"/>
    <w:rsid w:val="00FA5D8C"/>
    <w:rsid w:val="00FA6403"/>
    <w:rsid w:val="00FB16CD"/>
    <w:rsid w:val="00FB334A"/>
    <w:rsid w:val="00FB73AE"/>
    <w:rsid w:val="00FC5388"/>
    <w:rsid w:val="00FC595A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7EED69-0A9C-4BCA-B61A-BB2A9175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72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7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72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7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7276"/>
    <w:rPr>
      <w:b/>
      <w:bCs/>
    </w:rPr>
  </w:style>
  <w:style w:type="paragraph" w:styleId="Revision">
    <w:name w:val="Revision"/>
    <w:hidden/>
    <w:uiPriority w:val="99"/>
    <w:semiHidden/>
    <w:rsid w:val="00923178"/>
    <w:rPr>
      <w:sz w:val="24"/>
      <w:szCs w:val="24"/>
    </w:rPr>
  </w:style>
  <w:style w:type="character" w:styleId="Hyperlink">
    <w:name w:val="Hyperlink"/>
    <w:basedOn w:val="DefaultParagraphFont"/>
    <w:unhideWhenUsed/>
    <w:rsid w:val="002E03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35C"/>
    <w:rPr>
      <w:color w:val="605E5C"/>
      <w:shd w:val="clear" w:color="auto" w:fill="E1DFDD"/>
    </w:rPr>
  </w:style>
  <w:style w:type="paragraph" w:customStyle="1" w:styleId="left">
    <w:name w:val="left"/>
    <w:basedOn w:val="Normal"/>
    <w:rsid w:val="002E03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B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5205</Characters>
  <Application>Microsoft Office Word</Application>
  <DocSecurity>4</DocSecurity>
  <Lines>109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HB02196 (Committee Report (Substituted))</vt:lpstr>
    </vt:vector>
  </TitlesOfParts>
  <Company>State of Texas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22133</dc:subject>
  <dc:creator>State of Texas</dc:creator>
  <dc:description>HB 2196 by Smithee-(H)Judiciary &amp; Civil Jurisprudence (Substitute Document Number: 88R 19575)</dc:description>
  <cp:lastModifiedBy>Stacey Nicchio</cp:lastModifiedBy>
  <cp:revision>2</cp:revision>
  <cp:lastPrinted>2003-11-26T17:21:00Z</cp:lastPrinted>
  <dcterms:created xsi:type="dcterms:W3CDTF">2023-04-13T17:31:00Z</dcterms:created>
  <dcterms:modified xsi:type="dcterms:W3CDTF">2023-04-13T17:31:00Z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23.95.197</vt:lpwstr>
  </property>
</Properties>
</file>