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D5BAD" w14:paraId="692DDD79" w14:textId="77777777" w:rsidTr="00345119">
        <w:tc>
          <w:tcPr>
            <w:tcW w:w="9576" w:type="dxa"/>
            <w:noWrap/>
          </w:tcPr>
          <w:p w14:paraId="325B0725" w14:textId="77777777" w:rsidR="008423E4" w:rsidRPr="0022177D" w:rsidRDefault="00CC102C" w:rsidP="00C4743B">
            <w:pPr>
              <w:pStyle w:val="Heading1"/>
            </w:pPr>
            <w:r w:rsidRPr="00631897">
              <w:t>BILL ANALYSIS</w:t>
            </w:r>
          </w:p>
        </w:tc>
      </w:tr>
    </w:tbl>
    <w:p w14:paraId="1F964C4B" w14:textId="77777777" w:rsidR="008423E4" w:rsidRPr="0022177D" w:rsidRDefault="008423E4" w:rsidP="00C4743B">
      <w:pPr>
        <w:jc w:val="center"/>
      </w:pPr>
    </w:p>
    <w:p w14:paraId="63F98AD9" w14:textId="77777777" w:rsidR="008423E4" w:rsidRPr="00B31F0E" w:rsidRDefault="008423E4" w:rsidP="00C4743B"/>
    <w:p w14:paraId="77508A1C" w14:textId="77777777" w:rsidR="008423E4" w:rsidRPr="00742794" w:rsidRDefault="008423E4" w:rsidP="00C4743B">
      <w:pPr>
        <w:tabs>
          <w:tab w:val="right" w:pos="9360"/>
        </w:tabs>
      </w:pPr>
    </w:p>
    <w:tbl>
      <w:tblPr>
        <w:tblW w:w="0" w:type="auto"/>
        <w:tblLayout w:type="fixed"/>
        <w:tblLook w:val="01E0" w:firstRow="1" w:lastRow="1" w:firstColumn="1" w:lastColumn="1" w:noHBand="0" w:noVBand="0"/>
      </w:tblPr>
      <w:tblGrid>
        <w:gridCol w:w="9576"/>
      </w:tblGrid>
      <w:tr w:rsidR="005D5BAD" w14:paraId="1604AE26" w14:textId="77777777" w:rsidTr="00345119">
        <w:tc>
          <w:tcPr>
            <w:tcW w:w="9576" w:type="dxa"/>
          </w:tcPr>
          <w:p w14:paraId="67CF47DC" w14:textId="5931448F" w:rsidR="008423E4" w:rsidRPr="00861995" w:rsidRDefault="00CC102C" w:rsidP="00C4743B">
            <w:pPr>
              <w:jc w:val="right"/>
            </w:pPr>
            <w:r>
              <w:t>C.S.H.B. 2265</w:t>
            </w:r>
          </w:p>
        </w:tc>
      </w:tr>
      <w:tr w:rsidR="005D5BAD" w14:paraId="3B7C8F9D" w14:textId="77777777" w:rsidTr="00345119">
        <w:tc>
          <w:tcPr>
            <w:tcW w:w="9576" w:type="dxa"/>
          </w:tcPr>
          <w:p w14:paraId="4C999882" w14:textId="02552E39" w:rsidR="008423E4" w:rsidRPr="00861995" w:rsidRDefault="00CC102C" w:rsidP="00C4743B">
            <w:pPr>
              <w:jc w:val="right"/>
            </w:pPr>
            <w:r>
              <w:t xml:space="preserve">By: </w:t>
            </w:r>
            <w:r w:rsidR="00E2402C">
              <w:t>Leach</w:t>
            </w:r>
          </w:p>
        </w:tc>
      </w:tr>
      <w:tr w:rsidR="005D5BAD" w14:paraId="38CDEC81" w14:textId="77777777" w:rsidTr="00345119">
        <w:tc>
          <w:tcPr>
            <w:tcW w:w="9576" w:type="dxa"/>
          </w:tcPr>
          <w:p w14:paraId="349E5274" w14:textId="0BB4B2F7" w:rsidR="008423E4" w:rsidRPr="00861995" w:rsidRDefault="00CC102C" w:rsidP="00C4743B">
            <w:pPr>
              <w:jc w:val="right"/>
            </w:pPr>
            <w:r>
              <w:t>State Affairs</w:t>
            </w:r>
          </w:p>
        </w:tc>
      </w:tr>
      <w:tr w:rsidR="005D5BAD" w14:paraId="71C1EB1F" w14:textId="77777777" w:rsidTr="00345119">
        <w:tc>
          <w:tcPr>
            <w:tcW w:w="9576" w:type="dxa"/>
          </w:tcPr>
          <w:p w14:paraId="4EF6EBD3" w14:textId="4D53835E" w:rsidR="008423E4" w:rsidRDefault="00CC102C" w:rsidP="00C4743B">
            <w:pPr>
              <w:jc w:val="right"/>
            </w:pPr>
            <w:r>
              <w:t>Committee Report (Substituted)</w:t>
            </w:r>
          </w:p>
        </w:tc>
      </w:tr>
    </w:tbl>
    <w:p w14:paraId="3765EC90" w14:textId="77777777" w:rsidR="008423E4" w:rsidRDefault="008423E4" w:rsidP="00C4743B">
      <w:pPr>
        <w:tabs>
          <w:tab w:val="right" w:pos="9360"/>
        </w:tabs>
      </w:pPr>
    </w:p>
    <w:p w14:paraId="5C312428" w14:textId="77777777" w:rsidR="008423E4" w:rsidRDefault="008423E4" w:rsidP="00C4743B"/>
    <w:p w14:paraId="6444F62F" w14:textId="77777777" w:rsidR="008423E4" w:rsidRDefault="008423E4" w:rsidP="00C4743B"/>
    <w:tbl>
      <w:tblPr>
        <w:tblW w:w="0" w:type="auto"/>
        <w:tblCellMar>
          <w:left w:w="115" w:type="dxa"/>
          <w:right w:w="115" w:type="dxa"/>
        </w:tblCellMar>
        <w:tblLook w:val="01E0" w:firstRow="1" w:lastRow="1" w:firstColumn="1" w:lastColumn="1" w:noHBand="0" w:noVBand="0"/>
      </w:tblPr>
      <w:tblGrid>
        <w:gridCol w:w="9360"/>
      </w:tblGrid>
      <w:tr w:rsidR="005D5BAD" w14:paraId="22A6C9B3" w14:textId="77777777" w:rsidTr="009E237F">
        <w:tc>
          <w:tcPr>
            <w:tcW w:w="9360" w:type="dxa"/>
          </w:tcPr>
          <w:p w14:paraId="44A5593E" w14:textId="77777777" w:rsidR="008423E4" w:rsidRPr="00A8133F" w:rsidRDefault="00CC102C" w:rsidP="00C4743B">
            <w:pPr>
              <w:rPr>
                <w:b/>
              </w:rPr>
            </w:pPr>
            <w:r w:rsidRPr="009C1E9A">
              <w:rPr>
                <w:b/>
                <w:u w:val="single"/>
              </w:rPr>
              <w:t>BACKGROUND AND PURPOSE</w:t>
            </w:r>
            <w:r>
              <w:rPr>
                <w:b/>
              </w:rPr>
              <w:t xml:space="preserve"> </w:t>
            </w:r>
          </w:p>
          <w:p w14:paraId="165D7625" w14:textId="77777777" w:rsidR="008423E4" w:rsidRDefault="008423E4" w:rsidP="00C4743B"/>
          <w:p w14:paraId="670F5B4F" w14:textId="6312D78B" w:rsidR="008423E4" w:rsidRDefault="00CC102C" w:rsidP="00C4743B">
            <w:pPr>
              <w:jc w:val="both"/>
              <w:rPr>
                <w:rFonts w:eastAsia="Calibri"/>
              </w:rPr>
            </w:pPr>
            <w:r w:rsidRPr="00AE160E">
              <w:t xml:space="preserve">For governmental construction projects, contractual clauses dictating which party is responsible for delays are often </w:t>
            </w:r>
            <w:r w:rsidRPr="00AE160E">
              <w:t>nonnegotiable</w:t>
            </w:r>
            <w:r w:rsidR="00EA534A" w:rsidRPr="00AE160E">
              <w:t>, meaning</w:t>
            </w:r>
            <w:r w:rsidRPr="00AE160E">
              <w:t xml:space="preserve"> contractors must accept these clauses as is. Sometimes governmental entities</w:t>
            </w:r>
            <w:r w:rsidR="00C20BF4">
              <w:t>—</w:t>
            </w:r>
            <w:r w:rsidRPr="00AE160E">
              <w:t>who often enjoy sovereign immunity protections and</w:t>
            </w:r>
            <w:r w:rsidR="00EA534A" w:rsidRPr="00AE160E">
              <w:t xml:space="preserve"> benefit from</w:t>
            </w:r>
            <w:r w:rsidRPr="00AE160E">
              <w:t xml:space="preserve"> bureaucratic hurdles in the claims process</w:t>
            </w:r>
            <w:r w:rsidR="00C20BF4">
              <w:t>—</w:t>
            </w:r>
            <w:r w:rsidRPr="00AE160E">
              <w:t>are shifting the risk, costs, and consequences of</w:t>
            </w:r>
            <w:r w:rsidRPr="00AE160E">
              <w:t xml:space="preserve"> delays solely caused by them to private sector contractors who are accordingly not responsible. In other words, the governmental entity can unilaterally delay the project and the contractor must suffer the financial consequences of that delay without reim</w:t>
            </w:r>
            <w:r w:rsidRPr="00AE160E">
              <w:t xml:space="preserve">bursement or fair compensation. </w:t>
            </w:r>
            <w:r w:rsidR="00EA534A" w:rsidRPr="00AE160E">
              <w:t>C.S.</w:t>
            </w:r>
            <w:r w:rsidRPr="00AE160E">
              <w:rPr>
                <w:rFonts w:eastAsia="Calibri"/>
              </w:rPr>
              <w:t>H</w:t>
            </w:r>
            <w:r w:rsidR="00EA534A" w:rsidRPr="00AE160E">
              <w:rPr>
                <w:rFonts w:eastAsia="Calibri"/>
              </w:rPr>
              <w:t>.</w:t>
            </w:r>
            <w:r w:rsidRPr="00AE160E">
              <w:rPr>
                <w:rFonts w:eastAsia="Calibri"/>
              </w:rPr>
              <w:t>B</w:t>
            </w:r>
            <w:r w:rsidR="00EA534A" w:rsidRPr="00AE160E">
              <w:rPr>
                <w:rFonts w:eastAsia="Calibri"/>
              </w:rPr>
              <w:t>.</w:t>
            </w:r>
            <w:r w:rsidRPr="00AE160E">
              <w:rPr>
                <w:rFonts w:eastAsia="Calibri"/>
              </w:rPr>
              <w:t xml:space="preserve"> 2265 </w:t>
            </w:r>
            <w:r w:rsidR="00EA534A" w:rsidRPr="00AE160E">
              <w:rPr>
                <w:rFonts w:eastAsia="Calibri"/>
              </w:rPr>
              <w:t xml:space="preserve">seeks to </w:t>
            </w:r>
            <w:r w:rsidRPr="00AE160E">
              <w:rPr>
                <w:rFonts w:eastAsia="Calibri"/>
              </w:rPr>
              <w:t xml:space="preserve">prohibit a governmental entity from utilizing contractual clauses </w:t>
            </w:r>
            <w:r w:rsidR="00EA534A" w:rsidRPr="00AE160E">
              <w:rPr>
                <w:rFonts w:eastAsia="Calibri"/>
              </w:rPr>
              <w:t xml:space="preserve">in construction contracts </w:t>
            </w:r>
            <w:r w:rsidRPr="00AE160E">
              <w:rPr>
                <w:rFonts w:eastAsia="Calibri"/>
              </w:rPr>
              <w:t>to shift the consequences for delays it solely caused onto private sector contractors. This would help restor</w:t>
            </w:r>
            <w:r w:rsidRPr="00AE160E">
              <w:rPr>
                <w:rFonts w:eastAsia="Calibri"/>
              </w:rPr>
              <w:t>e fairness and mutual enforceability of contractual clauses on government construction projects.</w:t>
            </w:r>
          </w:p>
          <w:p w14:paraId="3F61B698" w14:textId="56A730FE" w:rsidR="000051BE" w:rsidRPr="003C65BB" w:rsidRDefault="000051BE" w:rsidP="00C4743B">
            <w:pPr>
              <w:jc w:val="both"/>
              <w:rPr>
                <w:b/>
              </w:rPr>
            </w:pPr>
          </w:p>
        </w:tc>
      </w:tr>
      <w:tr w:rsidR="005D5BAD" w14:paraId="283B6080" w14:textId="77777777" w:rsidTr="009E237F">
        <w:tc>
          <w:tcPr>
            <w:tcW w:w="9360" w:type="dxa"/>
          </w:tcPr>
          <w:p w14:paraId="7394A1C1" w14:textId="77777777" w:rsidR="0017725B" w:rsidRDefault="00CC102C" w:rsidP="00C4743B">
            <w:pPr>
              <w:rPr>
                <w:b/>
                <w:u w:val="single"/>
              </w:rPr>
            </w:pPr>
            <w:r>
              <w:rPr>
                <w:b/>
                <w:u w:val="single"/>
              </w:rPr>
              <w:t>CRIMINAL JUSTICE IMPACT</w:t>
            </w:r>
          </w:p>
          <w:p w14:paraId="280E5F21" w14:textId="77777777" w:rsidR="0017725B" w:rsidRDefault="0017725B" w:rsidP="00C4743B">
            <w:pPr>
              <w:rPr>
                <w:b/>
                <w:u w:val="single"/>
              </w:rPr>
            </w:pPr>
          </w:p>
          <w:p w14:paraId="4AA8B17F" w14:textId="44AE1FB1" w:rsidR="00B0611B" w:rsidRPr="00B0611B" w:rsidRDefault="00CC102C" w:rsidP="00C4743B">
            <w:pPr>
              <w:jc w:val="both"/>
            </w:pPr>
            <w:r>
              <w:t>It is the committee's opinion that this bill does not expressly create a criminal offense, increase the punishment for an existing c</w:t>
            </w:r>
            <w:r>
              <w:t>riminal offense or category of offenses, or change the eligibility of a person for community supervision, parole, or mandatory supervision.</w:t>
            </w:r>
          </w:p>
          <w:p w14:paraId="7FEFA935" w14:textId="77777777" w:rsidR="0017725B" w:rsidRPr="0017725B" w:rsidRDefault="0017725B" w:rsidP="00C4743B">
            <w:pPr>
              <w:rPr>
                <w:b/>
                <w:u w:val="single"/>
              </w:rPr>
            </w:pPr>
          </w:p>
        </w:tc>
      </w:tr>
      <w:tr w:rsidR="005D5BAD" w14:paraId="1476C828" w14:textId="77777777" w:rsidTr="009E237F">
        <w:tc>
          <w:tcPr>
            <w:tcW w:w="9360" w:type="dxa"/>
          </w:tcPr>
          <w:p w14:paraId="08F1C6ED" w14:textId="77777777" w:rsidR="008423E4" w:rsidRPr="00A8133F" w:rsidRDefault="00CC102C" w:rsidP="00C4743B">
            <w:pPr>
              <w:rPr>
                <w:b/>
              </w:rPr>
            </w:pPr>
            <w:r w:rsidRPr="009C1E9A">
              <w:rPr>
                <w:b/>
                <w:u w:val="single"/>
              </w:rPr>
              <w:t>RULEMAKING AUTHORITY</w:t>
            </w:r>
            <w:r>
              <w:rPr>
                <w:b/>
              </w:rPr>
              <w:t xml:space="preserve"> </w:t>
            </w:r>
          </w:p>
          <w:p w14:paraId="3E691CF5" w14:textId="77777777" w:rsidR="008423E4" w:rsidRDefault="008423E4" w:rsidP="00C4743B"/>
          <w:p w14:paraId="0A1AF8B1" w14:textId="47C353E0" w:rsidR="00B0611B" w:rsidRDefault="00CC102C" w:rsidP="00C4743B">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552C02DD" w14:textId="77777777" w:rsidR="008423E4" w:rsidRPr="00E21FDC" w:rsidRDefault="008423E4" w:rsidP="00C4743B">
            <w:pPr>
              <w:rPr>
                <w:b/>
              </w:rPr>
            </w:pPr>
          </w:p>
        </w:tc>
      </w:tr>
      <w:tr w:rsidR="005D5BAD" w14:paraId="513F331F" w14:textId="77777777" w:rsidTr="009E237F">
        <w:tc>
          <w:tcPr>
            <w:tcW w:w="9360" w:type="dxa"/>
          </w:tcPr>
          <w:p w14:paraId="2BE96147" w14:textId="77777777" w:rsidR="008423E4" w:rsidRPr="00A8133F" w:rsidRDefault="00CC102C" w:rsidP="00C4743B">
            <w:pPr>
              <w:rPr>
                <w:b/>
              </w:rPr>
            </w:pPr>
            <w:r w:rsidRPr="009C1E9A">
              <w:rPr>
                <w:b/>
                <w:u w:val="single"/>
              </w:rPr>
              <w:t>ANALYSIS</w:t>
            </w:r>
            <w:r>
              <w:rPr>
                <w:b/>
              </w:rPr>
              <w:t xml:space="preserve"> </w:t>
            </w:r>
          </w:p>
          <w:p w14:paraId="3345A3DB" w14:textId="77777777" w:rsidR="008423E4" w:rsidRDefault="008423E4" w:rsidP="00C4743B"/>
          <w:p w14:paraId="6019CC25" w14:textId="555DB752" w:rsidR="005D475D" w:rsidRDefault="00CC102C" w:rsidP="00C4743B">
            <w:pPr>
              <w:pStyle w:val="Header"/>
              <w:tabs>
                <w:tab w:val="clear" w:pos="4320"/>
                <w:tab w:val="clear" w:pos="8640"/>
              </w:tabs>
              <w:jc w:val="both"/>
            </w:pPr>
            <w:r>
              <w:t>C.S.</w:t>
            </w:r>
            <w:r w:rsidR="00B0611B">
              <w:t xml:space="preserve">H.B. 2265 amends the Government Code to prohibit </w:t>
            </w:r>
            <w:r w:rsidR="00B0611B" w:rsidRPr="005D475D">
              <w:t>a</w:t>
            </w:r>
            <w:r w:rsidRPr="00300A65">
              <w:t xml:space="preserve"> provision of a</w:t>
            </w:r>
            <w:r w:rsidR="00B0611B">
              <w:t xml:space="preserve"> </w:t>
            </w:r>
            <w:r w:rsidR="00B0611B" w:rsidRPr="00B0611B">
              <w:t>construction contract between a governmental entity and a contractor</w:t>
            </w:r>
            <w:r w:rsidR="00B0611B">
              <w:t xml:space="preserve"> </w:t>
            </w:r>
            <w:r w:rsidR="00E15546">
              <w:t xml:space="preserve">that is entered into on or after the bill's effective date </w:t>
            </w:r>
            <w:r w:rsidR="00B0611B">
              <w:t xml:space="preserve">from prohibiting </w:t>
            </w:r>
            <w:r w:rsidR="00B0611B" w:rsidRPr="00B0611B">
              <w:t xml:space="preserve">the award of compensatory damages to the contractor for a delay </w:t>
            </w:r>
            <w:r>
              <w:t xml:space="preserve">to the extent that the delay is </w:t>
            </w:r>
            <w:r w:rsidR="00B0611B" w:rsidRPr="00B0611B">
              <w:t>caused solely by the governmental entity</w:t>
            </w:r>
            <w:r>
              <w:t xml:space="preserve"> </w:t>
            </w:r>
            <w:r w:rsidRPr="005D475D">
              <w:t>or by a party for which the governmental en</w:t>
            </w:r>
            <w:r w:rsidRPr="005D475D">
              <w:t>tity is responsible</w:t>
            </w:r>
            <w:r w:rsidR="00B0611B" w:rsidRPr="00B0611B">
              <w:t>.</w:t>
            </w:r>
            <w:r w:rsidR="00B0611B">
              <w:t xml:space="preserve"> </w:t>
            </w:r>
            <w:r>
              <w:t xml:space="preserve">The bill establishes that </w:t>
            </w:r>
            <w:r w:rsidR="00F23874">
              <w:t>this</w:t>
            </w:r>
            <w:r>
              <w:t xml:space="preserve"> prohibition does not </w:t>
            </w:r>
            <w:r w:rsidRPr="005D475D">
              <w:t>restrict, limit, or prohibit the inclusion of a contract provision</w:t>
            </w:r>
            <w:r>
              <w:t xml:space="preserve"> </w:t>
            </w:r>
            <w:r w:rsidRPr="005D475D">
              <w:t>prescribing requirements or conditions that must be met by a contractor to seek recovery of compensatory damages, in</w:t>
            </w:r>
            <w:r w:rsidRPr="005D475D">
              <w:t>cluding requirements or conditions relating to notice, justification, or a duty to mitigate or for demonstrating or proving the actual cost or schedule impact of a delay.</w:t>
            </w:r>
          </w:p>
          <w:p w14:paraId="1F61905C" w14:textId="77777777" w:rsidR="005D475D" w:rsidRDefault="005D475D" w:rsidP="00C4743B">
            <w:pPr>
              <w:pStyle w:val="Header"/>
              <w:tabs>
                <w:tab w:val="clear" w:pos="4320"/>
                <w:tab w:val="clear" w:pos="8640"/>
              </w:tabs>
              <w:jc w:val="both"/>
            </w:pPr>
          </w:p>
          <w:p w14:paraId="4D4366EF" w14:textId="6625D97D" w:rsidR="00F23874" w:rsidRDefault="00CC102C" w:rsidP="00C4743B">
            <w:pPr>
              <w:pStyle w:val="Header"/>
              <w:jc w:val="both"/>
            </w:pPr>
            <w:r>
              <w:t>C.S.</w:t>
            </w:r>
            <w:r w:rsidR="005D475D">
              <w:t xml:space="preserve">H.B. 2265 </w:t>
            </w:r>
            <w:r>
              <w:t>does not apply to a construction contract for services related to reco</w:t>
            </w:r>
            <w:r>
              <w:t>very or relief from a natural disaster involving the repair or renovation of a residence or for the construction or repair of a critical infrastructure facility</w:t>
            </w:r>
            <w:r w:rsidR="00D425AE">
              <w:t>, as defined by Business &amp; Commerce Code provisions regarding responsibility for defects in plans and specifications, that is</w:t>
            </w:r>
            <w:r>
              <w:t xml:space="preserve"> owned or operated by the governmental entity or any building, structure, improvement, appurtenance, or other facility owned by the governmental entity that is necessary to the operation of and directly related to the critical </w:t>
            </w:r>
            <w:r>
              <w:t xml:space="preserve">infrastructure facility. </w:t>
            </w:r>
          </w:p>
          <w:p w14:paraId="504085B1" w14:textId="77777777" w:rsidR="00F23874" w:rsidRDefault="00F23874" w:rsidP="00C4743B">
            <w:pPr>
              <w:pStyle w:val="Header"/>
              <w:jc w:val="both"/>
            </w:pPr>
          </w:p>
          <w:p w14:paraId="653AF3C5" w14:textId="6517B7FF" w:rsidR="00F23874" w:rsidRDefault="00CC102C" w:rsidP="00C4743B">
            <w:pPr>
              <w:pStyle w:val="Header"/>
              <w:jc w:val="both"/>
            </w:pPr>
            <w:r>
              <w:t>C.S.H.B. 2265 defines the following terms:</w:t>
            </w:r>
          </w:p>
          <w:p w14:paraId="50CC8763" w14:textId="3BCE4B8B" w:rsidR="00F23874" w:rsidRDefault="00CC102C" w:rsidP="00C4743B">
            <w:pPr>
              <w:pStyle w:val="Header"/>
              <w:numPr>
                <w:ilvl w:val="0"/>
                <w:numId w:val="3"/>
              </w:numPr>
              <w:jc w:val="both"/>
            </w:pPr>
            <w:r>
              <w:t>"compensatory damages" means the costs actually incurred by a contractor as a result of delay in the schedule that could not be reasonably mitigated by the contractor, excluding the foll</w:t>
            </w:r>
            <w:r>
              <w:t>owing:</w:t>
            </w:r>
          </w:p>
          <w:p w14:paraId="5172B4CF" w14:textId="107E0CF3" w:rsidR="00F23874" w:rsidRDefault="00CC102C" w:rsidP="00C4743B">
            <w:pPr>
              <w:pStyle w:val="Header"/>
              <w:numPr>
                <w:ilvl w:val="1"/>
                <w:numId w:val="3"/>
              </w:numPr>
              <w:jc w:val="both"/>
            </w:pPr>
            <w:r>
              <w:t>special damages;</w:t>
            </w:r>
          </w:p>
          <w:p w14:paraId="388F4CDB" w14:textId="547CB732" w:rsidR="00F23874" w:rsidRDefault="00CC102C" w:rsidP="00C4743B">
            <w:pPr>
              <w:pStyle w:val="Header"/>
              <w:numPr>
                <w:ilvl w:val="1"/>
                <w:numId w:val="3"/>
              </w:numPr>
              <w:jc w:val="both"/>
            </w:pPr>
            <w:r>
              <w:t>consequential damages;</w:t>
            </w:r>
          </w:p>
          <w:p w14:paraId="6C84375C" w14:textId="1865D23E" w:rsidR="00F23874" w:rsidRDefault="00CC102C" w:rsidP="00C4743B">
            <w:pPr>
              <w:pStyle w:val="Header"/>
              <w:numPr>
                <w:ilvl w:val="1"/>
                <w:numId w:val="3"/>
              </w:numPr>
              <w:jc w:val="both"/>
            </w:pPr>
            <w:r>
              <w:t>home office overhead, except overhead costs for labor as defined in the applicable construction contract;</w:t>
            </w:r>
          </w:p>
          <w:p w14:paraId="274CC167" w14:textId="0D0E87C9" w:rsidR="00F23874" w:rsidRDefault="00CC102C" w:rsidP="00C4743B">
            <w:pPr>
              <w:pStyle w:val="Header"/>
              <w:numPr>
                <w:ilvl w:val="1"/>
                <w:numId w:val="3"/>
              </w:numPr>
              <w:jc w:val="both"/>
            </w:pPr>
            <w:r>
              <w:t>profit or markup on indirect costs; or</w:t>
            </w:r>
          </w:p>
          <w:p w14:paraId="46A4655C" w14:textId="625F4F48" w:rsidR="00F23874" w:rsidRDefault="00CC102C" w:rsidP="00C4743B">
            <w:pPr>
              <w:pStyle w:val="Header"/>
              <w:numPr>
                <w:ilvl w:val="1"/>
                <w:numId w:val="3"/>
              </w:numPr>
              <w:jc w:val="both"/>
            </w:pPr>
            <w:r>
              <w:t>the costs of performing additional work that are separately agre</w:t>
            </w:r>
            <w:r>
              <w:t>ed to by the governmental entity and contractor in a construction contract;</w:t>
            </w:r>
          </w:p>
          <w:p w14:paraId="1256FBE5" w14:textId="3D2D53F5" w:rsidR="00F23874" w:rsidRDefault="00CC102C" w:rsidP="00C4743B">
            <w:pPr>
              <w:pStyle w:val="Header"/>
              <w:numPr>
                <w:ilvl w:val="0"/>
                <w:numId w:val="3"/>
              </w:numPr>
              <w:jc w:val="both"/>
            </w:pPr>
            <w:r>
              <w:t>"contractor" means a person engaged in the business of developing, constructing, fabricating, repairing, altering, or remodeling improvements to real property; and</w:t>
            </w:r>
          </w:p>
          <w:p w14:paraId="23728061" w14:textId="6C9B970E" w:rsidR="009B20BC" w:rsidRDefault="00CC102C" w:rsidP="00C4743B">
            <w:pPr>
              <w:pStyle w:val="Header"/>
              <w:numPr>
                <w:ilvl w:val="0"/>
                <w:numId w:val="3"/>
              </w:numPr>
              <w:jc w:val="both"/>
            </w:pPr>
            <w:r>
              <w:t>"governmental en</w:t>
            </w:r>
            <w:r>
              <w:t xml:space="preserve">tity" </w:t>
            </w:r>
            <w:r w:rsidR="008A395F">
              <w:t>means</w:t>
            </w:r>
            <w:r>
              <w:t xml:space="preserve"> </w:t>
            </w:r>
            <w:r w:rsidR="00F23874">
              <w:t xml:space="preserve">any of </w:t>
            </w:r>
            <w:r>
              <w:t>the following:</w:t>
            </w:r>
          </w:p>
          <w:p w14:paraId="75AB783E" w14:textId="59FAA579" w:rsidR="00F23874" w:rsidRDefault="00CC102C" w:rsidP="00C4743B">
            <w:pPr>
              <w:pStyle w:val="Header"/>
              <w:numPr>
                <w:ilvl w:val="1"/>
                <w:numId w:val="3"/>
              </w:numPr>
              <w:jc w:val="both"/>
            </w:pPr>
            <w:r>
              <w:t>the state;</w:t>
            </w:r>
          </w:p>
          <w:p w14:paraId="6236E144" w14:textId="7FAB0C1D" w:rsidR="00F23874" w:rsidRDefault="00CC102C" w:rsidP="00C4743B">
            <w:pPr>
              <w:pStyle w:val="Header"/>
              <w:numPr>
                <w:ilvl w:val="1"/>
                <w:numId w:val="3"/>
              </w:numPr>
              <w:jc w:val="both"/>
            </w:pPr>
            <w:r>
              <w:t>a municipality, county, public school district, or special-purpose district or authority;</w:t>
            </w:r>
          </w:p>
          <w:p w14:paraId="50EDD73E" w14:textId="5FFCA9B9" w:rsidR="00F23874" w:rsidRDefault="00CC102C" w:rsidP="00C4743B">
            <w:pPr>
              <w:pStyle w:val="Header"/>
              <w:numPr>
                <w:ilvl w:val="1"/>
                <w:numId w:val="3"/>
              </w:numPr>
              <w:jc w:val="both"/>
            </w:pPr>
            <w:r>
              <w:t>a district, county, or justice of the peace court;</w:t>
            </w:r>
          </w:p>
          <w:p w14:paraId="3CA85B3D" w14:textId="7B07FB57" w:rsidR="00F23874" w:rsidRDefault="00CC102C" w:rsidP="00C4743B">
            <w:pPr>
              <w:pStyle w:val="Header"/>
              <w:numPr>
                <w:ilvl w:val="1"/>
                <w:numId w:val="3"/>
              </w:numPr>
              <w:jc w:val="both"/>
            </w:pPr>
            <w:r>
              <w:t xml:space="preserve">an executive branch </w:t>
            </w:r>
            <w:r w:rsidR="009B20BC">
              <w:t>agency, including a public institution of higher education;</w:t>
            </w:r>
          </w:p>
          <w:p w14:paraId="34AC58DB" w14:textId="7C423056" w:rsidR="00F23874" w:rsidRDefault="00CC102C" w:rsidP="00C4743B">
            <w:pPr>
              <w:pStyle w:val="Header"/>
              <w:numPr>
                <w:ilvl w:val="1"/>
                <w:numId w:val="3"/>
              </w:numPr>
              <w:jc w:val="both"/>
            </w:pPr>
            <w:r>
              <w:t>the legislature or a legislative agency; and</w:t>
            </w:r>
          </w:p>
          <w:p w14:paraId="3DD5DCCB" w14:textId="12455DA3" w:rsidR="00B4717E" w:rsidRDefault="00CC102C" w:rsidP="00C4743B">
            <w:pPr>
              <w:pStyle w:val="Header"/>
              <w:numPr>
                <w:ilvl w:val="1"/>
                <w:numId w:val="3"/>
              </w:numPr>
              <w:jc w:val="both"/>
            </w:pPr>
            <w:r>
              <w:t>a judicial agency having statewide jurisdiction.</w:t>
            </w:r>
          </w:p>
          <w:p w14:paraId="4CE1FD9B" w14:textId="77777777" w:rsidR="00B4717E" w:rsidRDefault="00B4717E" w:rsidP="00C4743B">
            <w:pPr>
              <w:pStyle w:val="Header"/>
              <w:tabs>
                <w:tab w:val="clear" w:pos="4320"/>
                <w:tab w:val="clear" w:pos="8640"/>
              </w:tabs>
              <w:jc w:val="both"/>
            </w:pPr>
          </w:p>
          <w:p w14:paraId="477354E5" w14:textId="7EB4712B" w:rsidR="000051BE" w:rsidRDefault="00CC102C" w:rsidP="00C4743B">
            <w:pPr>
              <w:pStyle w:val="Header"/>
              <w:jc w:val="both"/>
            </w:pPr>
            <w:r>
              <w:t>C.S.H.B. 2265 prohibits the bill's provisions from being waived and voids any purported waiver.</w:t>
            </w:r>
          </w:p>
          <w:p w14:paraId="079DF150" w14:textId="532EDA23" w:rsidR="00EB02D7" w:rsidRPr="00B0611B" w:rsidRDefault="00CC102C" w:rsidP="00C4743B">
            <w:pPr>
              <w:pStyle w:val="Header"/>
              <w:jc w:val="both"/>
            </w:pPr>
            <w:r>
              <w:t xml:space="preserve"> </w:t>
            </w:r>
          </w:p>
        </w:tc>
      </w:tr>
      <w:tr w:rsidR="005D5BAD" w14:paraId="16182DE2" w14:textId="77777777" w:rsidTr="009E237F">
        <w:tc>
          <w:tcPr>
            <w:tcW w:w="9360" w:type="dxa"/>
          </w:tcPr>
          <w:p w14:paraId="00991AC9" w14:textId="28ED2282" w:rsidR="008423E4" w:rsidRPr="00A8133F" w:rsidRDefault="00CC102C" w:rsidP="00C4743B">
            <w:pPr>
              <w:rPr>
                <w:b/>
              </w:rPr>
            </w:pPr>
            <w:r w:rsidRPr="009C1E9A">
              <w:rPr>
                <w:b/>
                <w:u w:val="single"/>
              </w:rPr>
              <w:t>EFFECTIVE DATE</w:t>
            </w:r>
            <w:r>
              <w:rPr>
                <w:b/>
              </w:rPr>
              <w:t xml:space="preserve"> </w:t>
            </w:r>
          </w:p>
          <w:p w14:paraId="0CA5416D" w14:textId="77777777" w:rsidR="008423E4" w:rsidRDefault="008423E4" w:rsidP="00C4743B"/>
          <w:p w14:paraId="3ACBB31D" w14:textId="276911F3" w:rsidR="008423E4" w:rsidRPr="003624F2" w:rsidRDefault="00CC102C" w:rsidP="00C4743B">
            <w:pPr>
              <w:pStyle w:val="Header"/>
              <w:tabs>
                <w:tab w:val="clear" w:pos="4320"/>
                <w:tab w:val="clear" w:pos="8640"/>
              </w:tabs>
              <w:jc w:val="both"/>
            </w:pPr>
            <w:r>
              <w:t>September 1, 2023.</w:t>
            </w:r>
          </w:p>
          <w:p w14:paraId="33A32D93" w14:textId="77777777" w:rsidR="008423E4" w:rsidRPr="00233FDB" w:rsidRDefault="008423E4" w:rsidP="00C4743B">
            <w:pPr>
              <w:rPr>
                <w:b/>
              </w:rPr>
            </w:pPr>
          </w:p>
        </w:tc>
      </w:tr>
      <w:tr w:rsidR="005D5BAD" w14:paraId="384E9D35" w14:textId="77777777" w:rsidTr="009E237F">
        <w:tc>
          <w:tcPr>
            <w:tcW w:w="9360" w:type="dxa"/>
          </w:tcPr>
          <w:p w14:paraId="32C1604B" w14:textId="77777777" w:rsidR="00E2402C" w:rsidRDefault="00CC102C" w:rsidP="00C4743B">
            <w:pPr>
              <w:jc w:val="both"/>
              <w:rPr>
                <w:b/>
                <w:u w:val="single"/>
              </w:rPr>
            </w:pPr>
            <w:r>
              <w:rPr>
                <w:b/>
                <w:u w:val="single"/>
              </w:rPr>
              <w:t>COMPARISON OF INTRODUCED AND SUBSTITUTE</w:t>
            </w:r>
          </w:p>
          <w:p w14:paraId="2731084B" w14:textId="77777777" w:rsidR="009E237F" w:rsidRDefault="009E237F" w:rsidP="00C4743B">
            <w:pPr>
              <w:jc w:val="both"/>
            </w:pPr>
          </w:p>
          <w:p w14:paraId="755CEF46" w14:textId="5BCAD96A" w:rsidR="009E237F" w:rsidRDefault="00CC102C" w:rsidP="00C4743B">
            <w:pPr>
              <w:jc w:val="both"/>
            </w:pPr>
            <w:r>
              <w:t>While C.S.H.B. 226</w:t>
            </w:r>
            <w:r w:rsidR="004168F6">
              <w:t>5</w:t>
            </w:r>
            <w:r>
              <w:t xml:space="preserve"> may differ from the introduced in minor or nonsubstantive ways, the following summarizes the substantial differences between the introduced and committee substitute versions of the bill.</w:t>
            </w:r>
          </w:p>
          <w:p w14:paraId="0361001F" w14:textId="11A7ECA2" w:rsidR="009E237F" w:rsidRDefault="009E237F" w:rsidP="00C4743B">
            <w:pPr>
              <w:jc w:val="both"/>
            </w:pPr>
          </w:p>
          <w:p w14:paraId="7D76392A" w14:textId="62FC286A" w:rsidR="00C07B2E" w:rsidRDefault="00CC102C" w:rsidP="00C4743B">
            <w:pPr>
              <w:jc w:val="both"/>
            </w:pPr>
            <w:r w:rsidRPr="009E237F">
              <w:t>The sub</w:t>
            </w:r>
            <w:r w:rsidRPr="009E237F">
              <w:t xml:space="preserve">stitute revises </w:t>
            </w:r>
            <w:r w:rsidR="003E7655">
              <w:t>the</w:t>
            </w:r>
            <w:r w:rsidR="003E7655" w:rsidRPr="009E237F">
              <w:t xml:space="preserve"> </w:t>
            </w:r>
            <w:r w:rsidRPr="009E237F">
              <w:t xml:space="preserve">provision in the introduced </w:t>
            </w:r>
            <w:r>
              <w:t>prohibitin</w:t>
            </w:r>
            <w:r w:rsidR="00B4717E">
              <w:t>g</w:t>
            </w:r>
            <w:r>
              <w:t xml:space="preserve"> a</w:t>
            </w:r>
            <w:r w:rsidR="00B4717E">
              <w:t xml:space="preserve"> construction contract between a</w:t>
            </w:r>
            <w:r>
              <w:t xml:space="preserve"> governmental entity </w:t>
            </w:r>
            <w:r w:rsidR="00B4717E">
              <w:t>and a contractor from prohibiting or limiting the a</w:t>
            </w:r>
            <w:r>
              <w:t xml:space="preserve">warding </w:t>
            </w:r>
            <w:r w:rsidR="00B4717E">
              <w:t xml:space="preserve">of </w:t>
            </w:r>
            <w:r>
              <w:t xml:space="preserve">compensatory damages for </w:t>
            </w:r>
            <w:r w:rsidR="00B4717E">
              <w:t xml:space="preserve">a </w:t>
            </w:r>
            <w:r>
              <w:t xml:space="preserve">delay </w:t>
            </w:r>
            <w:r w:rsidR="00B4717E">
              <w:t>caused solely by the governmental entity</w:t>
            </w:r>
            <w:r>
              <w:t xml:space="preserve"> as fol</w:t>
            </w:r>
            <w:r>
              <w:t>lows:</w:t>
            </w:r>
          </w:p>
          <w:p w14:paraId="3E55D93E" w14:textId="783C90C9" w:rsidR="00C82E7D" w:rsidRDefault="00CC102C" w:rsidP="00C4743B">
            <w:pPr>
              <w:pStyle w:val="ListParagraph"/>
              <w:numPr>
                <w:ilvl w:val="0"/>
                <w:numId w:val="2"/>
              </w:numPr>
              <w:contextualSpacing w:val="0"/>
              <w:jc w:val="both"/>
            </w:pPr>
            <w:r>
              <w:t xml:space="preserve">includes a specification absent from the introduced that </w:t>
            </w:r>
            <w:r w:rsidR="00C07B2E">
              <w:t xml:space="preserve">the prohibition </w:t>
            </w:r>
            <w:r>
              <w:t xml:space="preserve">applies with respect </w:t>
            </w:r>
            <w:r w:rsidR="00C07B2E">
              <w:t>to a</w:t>
            </w:r>
            <w:r>
              <w:t>ny</w:t>
            </w:r>
            <w:r w:rsidR="00C07B2E">
              <w:t xml:space="preserve"> provision of </w:t>
            </w:r>
            <w:r>
              <w:t>the</w:t>
            </w:r>
            <w:r w:rsidR="00C07B2E">
              <w:t xml:space="preserve"> contract; </w:t>
            </w:r>
          </w:p>
          <w:p w14:paraId="1E8DE76E" w14:textId="7CFBE9BE" w:rsidR="003E7655" w:rsidRDefault="00CC102C" w:rsidP="00C4743B">
            <w:pPr>
              <w:pStyle w:val="ListParagraph"/>
              <w:numPr>
                <w:ilvl w:val="0"/>
                <w:numId w:val="2"/>
              </w:numPr>
              <w:contextualSpacing w:val="0"/>
              <w:jc w:val="both"/>
            </w:pPr>
            <w:r>
              <w:t>omits the introduced</w:t>
            </w:r>
            <w:r w:rsidR="00921965">
              <w:t xml:space="preserve"> version</w:t>
            </w:r>
            <w:r>
              <w:t xml:space="preserve">'s prohibition against the contract limiting the awarding of compensatory damages while </w:t>
            </w:r>
            <w:r>
              <w:t xml:space="preserve">retaining only the prohibition against the contract prohibiting the awarding </w:t>
            </w:r>
            <w:r w:rsidR="003A6737">
              <w:t xml:space="preserve">of </w:t>
            </w:r>
            <w:r>
              <w:t>those damages outright;</w:t>
            </w:r>
          </w:p>
          <w:p w14:paraId="53B76FBC" w14:textId="179439F7" w:rsidR="00C07B2E" w:rsidRDefault="00CC102C" w:rsidP="00C4743B">
            <w:pPr>
              <w:pStyle w:val="ListParagraph"/>
              <w:numPr>
                <w:ilvl w:val="0"/>
                <w:numId w:val="2"/>
              </w:numPr>
              <w:contextualSpacing w:val="0"/>
              <w:jc w:val="both"/>
            </w:pPr>
            <w:r>
              <w:t xml:space="preserve">expands </w:t>
            </w:r>
            <w:r w:rsidR="003E7655">
              <w:t>delays for</w:t>
            </w:r>
            <w:r w:rsidR="00C82E7D">
              <w:t xml:space="preserve"> which awarding compensatory damages may not be prohibited to include </w:t>
            </w:r>
            <w:r w:rsidR="003E7655">
              <w:t>a</w:t>
            </w:r>
            <w:r w:rsidR="00EA534A">
              <w:t xml:space="preserve"> </w:t>
            </w:r>
            <w:r>
              <w:t>delay</w:t>
            </w:r>
            <w:r w:rsidR="00EA534A">
              <w:t xml:space="preserve"> </w:t>
            </w:r>
            <w:r>
              <w:t xml:space="preserve">caused by </w:t>
            </w:r>
            <w:r w:rsidRPr="00331624">
              <w:t>a party for which th</w:t>
            </w:r>
            <w:r w:rsidR="00C82E7D">
              <w:t>e</w:t>
            </w:r>
            <w:r w:rsidRPr="00331624">
              <w:t xml:space="preserve"> governmental entity is r</w:t>
            </w:r>
            <w:r w:rsidRPr="00331624">
              <w:t>esponsible</w:t>
            </w:r>
            <w:r w:rsidR="00C82E7D">
              <w:t xml:space="preserve">, </w:t>
            </w:r>
            <w:r w:rsidR="00D425AE">
              <w:t>whereas the introduced included only a delay caused solely by the governmental entity itself</w:t>
            </w:r>
            <w:r w:rsidR="003E7655">
              <w:t>; and</w:t>
            </w:r>
          </w:p>
          <w:p w14:paraId="6DF5F49D" w14:textId="359E7619" w:rsidR="003E7655" w:rsidRPr="009E237F" w:rsidRDefault="00CC102C" w:rsidP="00C4743B">
            <w:pPr>
              <w:pStyle w:val="ListParagraph"/>
              <w:numPr>
                <w:ilvl w:val="0"/>
                <w:numId w:val="2"/>
              </w:numPr>
              <w:contextualSpacing w:val="0"/>
              <w:jc w:val="both"/>
            </w:pPr>
            <w:r>
              <w:t xml:space="preserve">includes a specification </w:t>
            </w:r>
            <w:r w:rsidR="00921965">
              <w:t>absent from</w:t>
            </w:r>
            <w:r w:rsidR="00D425AE">
              <w:t xml:space="preserve"> the introduced </w:t>
            </w:r>
            <w:r>
              <w:t>that the prohibition applies only to the extent that</w:t>
            </w:r>
            <w:r w:rsidR="00D425AE">
              <w:t xml:space="preserve"> the delay is caused solely by the governmental entity or by such a party.</w:t>
            </w:r>
          </w:p>
          <w:p w14:paraId="40EA87BD" w14:textId="77777777" w:rsidR="009E237F" w:rsidRDefault="009E237F" w:rsidP="00C4743B">
            <w:pPr>
              <w:jc w:val="both"/>
              <w:rPr>
                <w:b/>
                <w:u w:val="single"/>
              </w:rPr>
            </w:pPr>
          </w:p>
          <w:p w14:paraId="5E35F77C" w14:textId="6B66692B" w:rsidR="00855DAA" w:rsidRDefault="00CC102C" w:rsidP="00C4743B">
            <w:pPr>
              <w:jc w:val="both"/>
              <w:rPr>
                <w:bCs/>
              </w:rPr>
            </w:pPr>
            <w:r w:rsidRPr="00855DAA">
              <w:rPr>
                <w:bCs/>
              </w:rPr>
              <w:t xml:space="preserve">The substitute includes provisions that were not in the introduced </w:t>
            </w:r>
            <w:r>
              <w:rPr>
                <w:bCs/>
              </w:rPr>
              <w:t>establishing that the bill</w:t>
            </w:r>
            <w:r w:rsidR="00183016">
              <w:rPr>
                <w:bCs/>
              </w:rPr>
              <w:t>'</w:t>
            </w:r>
            <w:r>
              <w:rPr>
                <w:bCs/>
              </w:rPr>
              <w:t xml:space="preserve">s prohibition </w:t>
            </w:r>
            <w:r w:rsidRPr="00855DAA">
              <w:rPr>
                <w:bCs/>
              </w:rPr>
              <w:t>does not restrict, limit, or prohibit the inclusion of a contract provision</w:t>
            </w:r>
            <w:r w:rsidR="00C07B2E">
              <w:rPr>
                <w:bCs/>
              </w:rPr>
              <w:t xml:space="preserve"> </w:t>
            </w:r>
            <w:r w:rsidR="00312BFA">
              <w:rPr>
                <w:bCs/>
              </w:rPr>
              <w:t xml:space="preserve">in a construction contract </w:t>
            </w:r>
            <w:r w:rsidR="00C07B2E" w:rsidRPr="00C07B2E">
              <w:rPr>
                <w:bCs/>
              </w:rPr>
              <w:t xml:space="preserve">prescribing requirements or conditions </w:t>
            </w:r>
            <w:r w:rsidR="00312BFA">
              <w:rPr>
                <w:bCs/>
              </w:rPr>
              <w:t xml:space="preserve">that must be met by </w:t>
            </w:r>
            <w:r w:rsidR="00C07B2E" w:rsidRPr="00C07B2E">
              <w:rPr>
                <w:bCs/>
              </w:rPr>
              <w:t>a contractor to seek recovery of compensatory damages</w:t>
            </w:r>
            <w:r w:rsidR="00C07B2E">
              <w:rPr>
                <w:bCs/>
              </w:rPr>
              <w:t>.</w:t>
            </w:r>
          </w:p>
          <w:p w14:paraId="65D68C21" w14:textId="0119BCA8" w:rsidR="00855DAA" w:rsidRPr="00855DAA" w:rsidRDefault="00855DAA" w:rsidP="00C4743B">
            <w:pPr>
              <w:jc w:val="both"/>
              <w:rPr>
                <w:bCs/>
              </w:rPr>
            </w:pPr>
          </w:p>
          <w:p w14:paraId="66689E73" w14:textId="65B5C2C3" w:rsidR="00312BFA" w:rsidRDefault="00CC102C" w:rsidP="00C4743B">
            <w:pPr>
              <w:jc w:val="both"/>
              <w:rPr>
                <w:bCs/>
              </w:rPr>
            </w:pPr>
            <w:r w:rsidRPr="00855DAA">
              <w:rPr>
                <w:bCs/>
              </w:rPr>
              <w:t xml:space="preserve">The substitute includes provisions that were not in the introduced </w:t>
            </w:r>
            <w:r>
              <w:rPr>
                <w:bCs/>
              </w:rPr>
              <w:t xml:space="preserve">exempting certain construction contracts from the bill's provisions. </w:t>
            </w:r>
          </w:p>
          <w:p w14:paraId="4B85E09D" w14:textId="77777777" w:rsidR="00312BFA" w:rsidRDefault="00312BFA" w:rsidP="00C4743B">
            <w:pPr>
              <w:jc w:val="both"/>
              <w:rPr>
                <w:bCs/>
              </w:rPr>
            </w:pPr>
          </w:p>
          <w:p w14:paraId="3606A758" w14:textId="38AC780A" w:rsidR="00312BFA" w:rsidRPr="00E2402C" w:rsidRDefault="00CC102C" w:rsidP="00C4743B">
            <w:pPr>
              <w:jc w:val="both"/>
              <w:rPr>
                <w:b/>
                <w:u w:val="single"/>
              </w:rPr>
            </w:pPr>
            <w:r>
              <w:rPr>
                <w:bCs/>
              </w:rPr>
              <w:t>The substitute</w:t>
            </w:r>
            <w:r>
              <w:rPr>
                <w:bCs/>
              </w:rPr>
              <w:t xml:space="preserve"> specifies what constitutes compensatory damages for purposes of the bill's provisions, whereas the introduced did not.</w:t>
            </w:r>
          </w:p>
        </w:tc>
      </w:tr>
    </w:tbl>
    <w:p w14:paraId="38A4E389" w14:textId="77777777" w:rsidR="008423E4" w:rsidRPr="00BE0E75" w:rsidRDefault="008423E4" w:rsidP="00C4743B">
      <w:pPr>
        <w:jc w:val="both"/>
        <w:rPr>
          <w:rFonts w:ascii="Arial" w:hAnsi="Arial"/>
          <w:sz w:val="16"/>
          <w:szCs w:val="16"/>
        </w:rPr>
      </w:pPr>
    </w:p>
    <w:p w14:paraId="28B9CD99" w14:textId="77777777" w:rsidR="004108C3" w:rsidRPr="008423E4" w:rsidRDefault="004108C3" w:rsidP="00C4743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F8E7" w14:textId="77777777" w:rsidR="00000000" w:rsidRDefault="00CC102C">
      <w:r>
        <w:separator/>
      </w:r>
    </w:p>
  </w:endnote>
  <w:endnote w:type="continuationSeparator" w:id="0">
    <w:p w14:paraId="3E4F8AFF" w14:textId="77777777" w:rsidR="00000000" w:rsidRDefault="00CC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81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D5BAD" w14:paraId="642F6301" w14:textId="77777777" w:rsidTr="009C1E9A">
      <w:trPr>
        <w:cantSplit/>
      </w:trPr>
      <w:tc>
        <w:tcPr>
          <w:tcW w:w="0" w:type="pct"/>
        </w:tcPr>
        <w:p w14:paraId="292A2CA8" w14:textId="77777777" w:rsidR="00137D90" w:rsidRDefault="00137D90" w:rsidP="009C1E9A">
          <w:pPr>
            <w:pStyle w:val="Footer"/>
            <w:tabs>
              <w:tab w:val="clear" w:pos="8640"/>
              <w:tab w:val="right" w:pos="9360"/>
            </w:tabs>
          </w:pPr>
        </w:p>
      </w:tc>
      <w:tc>
        <w:tcPr>
          <w:tcW w:w="2395" w:type="pct"/>
        </w:tcPr>
        <w:p w14:paraId="51FFF349" w14:textId="77777777" w:rsidR="00137D90" w:rsidRDefault="00137D90" w:rsidP="009C1E9A">
          <w:pPr>
            <w:pStyle w:val="Footer"/>
            <w:tabs>
              <w:tab w:val="clear" w:pos="8640"/>
              <w:tab w:val="right" w:pos="9360"/>
            </w:tabs>
          </w:pPr>
        </w:p>
        <w:p w14:paraId="63251195" w14:textId="77777777" w:rsidR="001A4310" w:rsidRDefault="001A4310" w:rsidP="009C1E9A">
          <w:pPr>
            <w:pStyle w:val="Footer"/>
            <w:tabs>
              <w:tab w:val="clear" w:pos="8640"/>
              <w:tab w:val="right" w:pos="9360"/>
            </w:tabs>
          </w:pPr>
        </w:p>
        <w:p w14:paraId="202067B5" w14:textId="77777777" w:rsidR="00137D90" w:rsidRDefault="00137D90" w:rsidP="009C1E9A">
          <w:pPr>
            <w:pStyle w:val="Footer"/>
            <w:tabs>
              <w:tab w:val="clear" w:pos="8640"/>
              <w:tab w:val="right" w:pos="9360"/>
            </w:tabs>
          </w:pPr>
        </w:p>
      </w:tc>
      <w:tc>
        <w:tcPr>
          <w:tcW w:w="2453" w:type="pct"/>
        </w:tcPr>
        <w:p w14:paraId="163757C8" w14:textId="77777777" w:rsidR="00137D90" w:rsidRDefault="00137D90" w:rsidP="009C1E9A">
          <w:pPr>
            <w:pStyle w:val="Footer"/>
            <w:tabs>
              <w:tab w:val="clear" w:pos="8640"/>
              <w:tab w:val="right" w:pos="9360"/>
            </w:tabs>
            <w:jc w:val="right"/>
          </w:pPr>
        </w:p>
      </w:tc>
    </w:tr>
    <w:tr w:rsidR="005D5BAD" w14:paraId="378504B9" w14:textId="77777777" w:rsidTr="009C1E9A">
      <w:trPr>
        <w:cantSplit/>
      </w:trPr>
      <w:tc>
        <w:tcPr>
          <w:tcW w:w="0" w:type="pct"/>
        </w:tcPr>
        <w:p w14:paraId="08F604EB" w14:textId="77777777" w:rsidR="00EC379B" w:rsidRDefault="00EC379B" w:rsidP="009C1E9A">
          <w:pPr>
            <w:pStyle w:val="Footer"/>
            <w:tabs>
              <w:tab w:val="clear" w:pos="8640"/>
              <w:tab w:val="right" w:pos="9360"/>
            </w:tabs>
          </w:pPr>
        </w:p>
      </w:tc>
      <w:tc>
        <w:tcPr>
          <w:tcW w:w="2395" w:type="pct"/>
        </w:tcPr>
        <w:p w14:paraId="61275FE5" w14:textId="0B5414FB" w:rsidR="00EC379B" w:rsidRPr="009C1E9A" w:rsidRDefault="00CC102C" w:rsidP="009C1E9A">
          <w:pPr>
            <w:pStyle w:val="Footer"/>
            <w:tabs>
              <w:tab w:val="clear" w:pos="8640"/>
              <w:tab w:val="right" w:pos="9360"/>
            </w:tabs>
            <w:rPr>
              <w:rFonts w:ascii="Shruti" w:hAnsi="Shruti"/>
              <w:sz w:val="22"/>
            </w:rPr>
          </w:pPr>
          <w:r>
            <w:rPr>
              <w:rFonts w:ascii="Shruti" w:hAnsi="Shruti"/>
              <w:sz w:val="22"/>
            </w:rPr>
            <w:t>88R 25820-D</w:t>
          </w:r>
        </w:p>
      </w:tc>
      <w:tc>
        <w:tcPr>
          <w:tcW w:w="2453" w:type="pct"/>
        </w:tcPr>
        <w:p w14:paraId="3E96BAB2" w14:textId="64E3D82B" w:rsidR="00EC379B" w:rsidRDefault="00CC102C" w:rsidP="009C1E9A">
          <w:pPr>
            <w:pStyle w:val="Footer"/>
            <w:tabs>
              <w:tab w:val="clear" w:pos="8640"/>
              <w:tab w:val="right" w:pos="9360"/>
            </w:tabs>
            <w:jc w:val="right"/>
          </w:pPr>
          <w:r>
            <w:fldChar w:fldCharType="begin"/>
          </w:r>
          <w:r>
            <w:instrText xml:space="preserve"> DOCPROPERTY  OTID  \* MERGEFORMAT </w:instrText>
          </w:r>
          <w:r>
            <w:fldChar w:fldCharType="separate"/>
          </w:r>
          <w:r w:rsidR="0047434D">
            <w:t>23.115.2659</w:t>
          </w:r>
          <w:r>
            <w:fldChar w:fldCharType="end"/>
          </w:r>
        </w:p>
      </w:tc>
    </w:tr>
    <w:tr w:rsidR="005D5BAD" w14:paraId="40CB6121" w14:textId="77777777" w:rsidTr="009C1E9A">
      <w:trPr>
        <w:cantSplit/>
      </w:trPr>
      <w:tc>
        <w:tcPr>
          <w:tcW w:w="0" w:type="pct"/>
        </w:tcPr>
        <w:p w14:paraId="051300AE" w14:textId="77777777" w:rsidR="00EC379B" w:rsidRDefault="00EC379B" w:rsidP="009C1E9A">
          <w:pPr>
            <w:pStyle w:val="Footer"/>
            <w:tabs>
              <w:tab w:val="clear" w:pos="4320"/>
              <w:tab w:val="clear" w:pos="8640"/>
              <w:tab w:val="left" w:pos="2865"/>
            </w:tabs>
          </w:pPr>
        </w:p>
      </w:tc>
      <w:tc>
        <w:tcPr>
          <w:tcW w:w="2395" w:type="pct"/>
        </w:tcPr>
        <w:p w14:paraId="450DD406" w14:textId="2E427164" w:rsidR="00EC379B" w:rsidRPr="009C1E9A" w:rsidRDefault="00CC102C"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23814</w:t>
          </w:r>
        </w:p>
      </w:tc>
      <w:tc>
        <w:tcPr>
          <w:tcW w:w="2453" w:type="pct"/>
        </w:tcPr>
        <w:p w14:paraId="3E8BC897" w14:textId="77777777" w:rsidR="00EC379B" w:rsidRDefault="00EC379B" w:rsidP="006D504F">
          <w:pPr>
            <w:pStyle w:val="Footer"/>
            <w:rPr>
              <w:rStyle w:val="PageNumber"/>
            </w:rPr>
          </w:pPr>
        </w:p>
        <w:p w14:paraId="139B1D9A" w14:textId="77777777" w:rsidR="00EC379B" w:rsidRDefault="00EC379B" w:rsidP="009C1E9A">
          <w:pPr>
            <w:pStyle w:val="Footer"/>
            <w:tabs>
              <w:tab w:val="clear" w:pos="8640"/>
              <w:tab w:val="right" w:pos="9360"/>
            </w:tabs>
            <w:jc w:val="right"/>
          </w:pPr>
        </w:p>
      </w:tc>
    </w:tr>
    <w:tr w:rsidR="005D5BAD" w14:paraId="29780AEE" w14:textId="77777777" w:rsidTr="009C1E9A">
      <w:trPr>
        <w:cantSplit/>
        <w:trHeight w:val="323"/>
      </w:trPr>
      <w:tc>
        <w:tcPr>
          <w:tcW w:w="0" w:type="pct"/>
          <w:gridSpan w:val="3"/>
        </w:tcPr>
        <w:p w14:paraId="555A1411" w14:textId="77777777" w:rsidR="00EC379B" w:rsidRDefault="00CC102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C0AB49" w14:textId="77777777" w:rsidR="00EC379B" w:rsidRDefault="00EC379B" w:rsidP="009C1E9A">
          <w:pPr>
            <w:pStyle w:val="Footer"/>
            <w:tabs>
              <w:tab w:val="clear" w:pos="8640"/>
              <w:tab w:val="right" w:pos="9360"/>
            </w:tabs>
            <w:jc w:val="center"/>
          </w:pPr>
        </w:p>
      </w:tc>
    </w:tr>
  </w:tbl>
  <w:p w14:paraId="7D48063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506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0BBC" w14:textId="77777777" w:rsidR="00000000" w:rsidRDefault="00CC102C">
      <w:r>
        <w:separator/>
      </w:r>
    </w:p>
  </w:footnote>
  <w:footnote w:type="continuationSeparator" w:id="0">
    <w:p w14:paraId="352A3FC4" w14:textId="77777777" w:rsidR="00000000" w:rsidRDefault="00CC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74C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576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6F4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0D5D"/>
    <w:multiLevelType w:val="hybridMultilevel"/>
    <w:tmpl w:val="B3BEEE54"/>
    <w:lvl w:ilvl="0" w:tplc="EA6010E4">
      <w:start w:val="1"/>
      <w:numFmt w:val="bullet"/>
      <w:lvlText w:val=""/>
      <w:lvlJc w:val="left"/>
      <w:pPr>
        <w:tabs>
          <w:tab w:val="num" w:pos="720"/>
        </w:tabs>
        <w:ind w:left="720" w:hanging="360"/>
      </w:pPr>
      <w:rPr>
        <w:rFonts w:ascii="Symbol" w:hAnsi="Symbol" w:hint="default"/>
      </w:rPr>
    </w:lvl>
    <w:lvl w:ilvl="1" w:tplc="4D6A4380" w:tentative="1">
      <w:start w:val="1"/>
      <w:numFmt w:val="bullet"/>
      <w:lvlText w:val="o"/>
      <w:lvlJc w:val="left"/>
      <w:pPr>
        <w:ind w:left="1440" w:hanging="360"/>
      </w:pPr>
      <w:rPr>
        <w:rFonts w:ascii="Courier New" w:hAnsi="Courier New" w:cs="Courier New" w:hint="default"/>
      </w:rPr>
    </w:lvl>
    <w:lvl w:ilvl="2" w:tplc="E2D806B6" w:tentative="1">
      <w:start w:val="1"/>
      <w:numFmt w:val="bullet"/>
      <w:lvlText w:val=""/>
      <w:lvlJc w:val="left"/>
      <w:pPr>
        <w:ind w:left="2160" w:hanging="360"/>
      </w:pPr>
      <w:rPr>
        <w:rFonts w:ascii="Wingdings" w:hAnsi="Wingdings" w:hint="default"/>
      </w:rPr>
    </w:lvl>
    <w:lvl w:ilvl="3" w:tplc="E05819C6" w:tentative="1">
      <w:start w:val="1"/>
      <w:numFmt w:val="bullet"/>
      <w:lvlText w:val=""/>
      <w:lvlJc w:val="left"/>
      <w:pPr>
        <w:ind w:left="2880" w:hanging="360"/>
      </w:pPr>
      <w:rPr>
        <w:rFonts w:ascii="Symbol" w:hAnsi="Symbol" w:hint="default"/>
      </w:rPr>
    </w:lvl>
    <w:lvl w:ilvl="4" w:tplc="2006E2D2" w:tentative="1">
      <w:start w:val="1"/>
      <w:numFmt w:val="bullet"/>
      <w:lvlText w:val="o"/>
      <w:lvlJc w:val="left"/>
      <w:pPr>
        <w:ind w:left="3600" w:hanging="360"/>
      </w:pPr>
      <w:rPr>
        <w:rFonts w:ascii="Courier New" w:hAnsi="Courier New" w:cs="Courier New" w:hint="default"/>
      </w:rPr>
    </w:lvl>
    <w:lvl w:ilvl="5" w:tplc="3782CB44" w:tentative="1">
      <w:start w:val="1"/>
      <w:numFmt w:val="bullet"/>
      <w:lvlText w:val=""/>
      <w:lvlJc w:val="left"/>
      <w:pPr>
        <w:ind w:left="4320" w:hanging="360"/>
      </w:pPr>
      <w:rPr>
        <w:rFonts w:ascii="Wingdings" w:hAnsi="Wingdings" w:hint="default"/>
      </w:rPr>
    </w:lvl>
    <w:lvl w:ilvl="6" w:tplc="65EC6996" w:tentative="1">
      <w:start w:val="1"/>
      <w:numFmt w:val="bullet"/>
      <w:lvlText w:val=""/>
      <w:lvlJc w:val="left"/>
      <w:pPr>
        <w:ind w:left="5040" w:hanging="360"/>
      </w:pPr>
      <w:rPr>
        <w:rFonts w:ascii="Symbol" w:hAnsi="Symbol" w:hint="default"/>
      </w:rPr>
    </w:lvl>
    <w:lvl w:ilvl="7" w:tplc="F59E6F62" w:tentative="1">
      <w:start w:val="1"/>
      <w:numFmt w:val="bullet"/>
      <w:lvlText w:val="o"/>
      <w:lvlJc w:val="left"/>
      <w:pPr>
        <w:ind w:left="5760" w:hanging="360"/>
      </w:pPr>
      <w:rPr>
        <w:rFonts w:ascii="Courier New" w:hAnsi="Courier New" w:cs="Courier New" w:hint="default"/>
      </w:rPr>
    </w:lvl>
    <w:lvl w:ilvl="8" w:tplc="994455BA" w:tentative="1">
      <w:start w:val="1"/>
      <w:numFmt w:val="bullet"/>
      <w:lvlText w:val=""/>
      <w:lvlJc w:val="left"/>
      <w:pPr>
        <w:ind w:left="6480" w:hanging="360"/>
      </w:pPr>
      <w:rPr>
        <w:rFonts w:ascii="Wingdings" w:hAnsi="Wingdings" w:hint="default"/>
      </w:rPr>
    </w:lvl>
  </w:abstractNum>
  <w:abstractNum w:abstractNumId="1" w15:restartNumberingAfterBreak="0">
    <w:nsid w:val="5B452270"/>
    <w:multiLevelType w:val="hybridMultilevel"/>
    <w:tmpl w:val="B8029536"/>
    <w:lvl w:ilvl="0" w:tplc="618EF7E8">
      <w:start w:val="1"/>
      <w:numFmt w:val="bullet"/>
      <w:lvlText w:val=""/>
      <w:lvlJc w:val="left"/>
      <w:pPr>
        <w:tabs>
          <w:tab w:val="num" w:pos="720"/>
        </w:tabs>
        <w:ind w:left="720" w:hanging="360"/>
      </w:pPr>
      <w:rPr>
        <w:rFonts w:ascii="Symbol" w:hAnsi="Symbol" w:hint="default"/>
      </w:rPr>
    </w:lvl>
    <w:lvl w:ilvl="1" w:tplc="0D66407C" w:tentative="1">
      <w:start w:val="1"/>
      <w:numFmt w:val="bullet"/>
      <w:lvlText w:val="o"/>
      <w:lvlJc w:val="left"/>
      <w:pPr>
        <w:ind w:left="1440" w:hanging="360"/>
      </w:pPr>
      <w:rPr>
        <w:rFonts w:ascii="Courier New" w:hAnsi="Courier New" w:cs="Courier New" w:hint="default"/>
      </w:rPr>
    </w:lvl>
    <w:lvl w:ilvl="2" w:tplc="4D508940" w:tentative="1">
      <w:start w:val="1"/>
      <w:numFmt w:val="bullet"/>
      <w:lvlText w:val=""/>
      <w:lvlJc w:val="left"/>
      <w:pPr>
        <w:ind w:left="2160" w:hanging="360"/>
      </w:pPr>
      <w:rPr>
        <w:rFonts w:ascii="Wingdings" w:hAnsi="Wingdings" w:hint="default"/>
      </w:rPr>
    </w:lvl>
    <w:lvl w:ilvl="3" w:tplc="C73E13A6" w:tentative="1">
      <w:start w:val="1"/>
      <w:numFmt w:val="bullet"/>
      <w:lvlText w:val=""/>
      <w:lvlJc w:val="left"/>
      <w:pPr>
        <w:ind w:left="2880" w:hanging="360"/>
      </w:pPr>
      <w:rPr>
        <w:rFonts w:ascii="Symbol" w:hAnsi="Symbol" w:hint="default"/>
      </w:rPr>
    </w:lvl>
    <w:lvl w:ilvl="4" w:tplc="1A824A40" w:tentative="1">
      <w:start w:val="1"/>
      <w:numFmt w:val="bullet"/>
      <w:lvlText w:val="o"/>
      <w:lvlJc w:val="left"/>
      <w:pPr>
        <w:ind w:left="3600" w:hanging="360"/>
      </w:pPr>
      <w:rPr>
        <w:rFonts w:ascii="Courier New" w:hAnsi="Courier New" w:cs="Courier New" w:hint="default"/>
      </w:rPr>
    </w:lvl>
    <w:lvl w:ilvl="5" w:tplc="D7FC6470" w:tentative="1">
      <w:start w:val="1"/>
      <w:numFmt w:val="bullet"/>
      <w:lvlText w:val=""/>
      <w:lvlJc w:val="left"/>
      <w:pPr>
        <w:ind w:left="4320" w:hanging="360"/>
      </w:pPr>
      <w:rPr>
        <w:rFonts w:ascii="Wingdings" w:hAnsi="Wingdings" w:hint="default"/>
      </w:rPr>
    </w:lvl>
    <w:lvl w:ilvl="6" w:tplc="8F7E3D4E" w:tentative="1">
      <w:start w:val="1"/>
      <w:numFmt w:val="bullet"/>
      <w:lvlText w:val=""/>
      <w:lvlJc w:val="left"/>
      <w:pPr>
        <w:ind w:left="5040" w:hanging="360"/>
      </w:pPr>
      <w:rPr>
        <w:rFonts w:ascii="Symbol" w:hAnsi="Symbol" w:hint="default"/>
      </w:rPr>
    </w:lvl>
    <w:lvl w:ilvl="7" w:tplc="5BC04230" w:tentative="1">
      <w:start w:val="1"/>
      <w:numFmt w:val="bullet"/>
      <w:lvlText w:val="o"/>
      <w:lvlJc w:val="left"/>
      <w:pPr>
        <w:ind w:left="5760" w:hanging="360"/>
      </w:pPr>
      <w:rPr>
        <w:rFonts w:ascii="Courier New" w:hAnsi="Courier New" w:cs="Courier New" w:hint="default"/>
      </w:rPr>
    </w:lvl>
    <w:lvl w:ilvl="8" w:tplc="B5982796" w:tentative="1">
      <w:start w:val="1"/>
      <w:numFmt w:val="bullet"/>
      <w:lvlText w:val=""/>
      <w:lvlJc w:val="left"/>
      <w:pPr>
        <w:ind w:left="6480" w:hanging="360"/>
      </w:pPr>
      <w:rPr>
        <w:rFonts w:ascii="Wingdings" w:hAnsi="Wingdings" w:hint="default"/>
      </w:rPr>
    </w:lvl>
  </w:abstractNum>
  <w:abstractNum w:abstractNumId="2" w15:restartNumberingAfterBreak="0">
    <w:nsid w:val="62400BAD"/>
    <w:multiLevelType w:val="hybridMultilevel"/>
    <w:tmpl w:val="4A54DAF6"/>
    <w:lvl w:ilvl="0" w:tplc="B59CA70A">
      <w:start w:val="1"/>
      <w:numFmt w:val="bullet"/>
      <w:lvlText w:val=""/>
      <w:lvlJc w:val="left"/>
      <w:pPr>
        <w:tabs>
          <w:tab w:val="num" w:pos="720"/>
        </w:tabs>
        <w:ind w:left="720" w:hanging="360"/>
      </w:pPr>
      <w:rPr>
        <w:rFonts w:ascii="Symbol" w:hAnsi="Symbol" w:hint="default"/>
      </w:rPr>
    </w:lvl>
    <w:lvl w:ilvl="1" w:tplc="BCACCC9E">
      <w:start w:val="1"/>
      <w:numFmt w:val="bullet"/>
      <w:lvlText w:val="o"/>
      <w:lvlJc w:val="left"/>
      <w:pPr>
        <w:ind w:left="1440" w:hanging="360"/>
      </w:pPr>
      <w:rPr>
        <w:rFonts w:ascii="Courier New" w:hAnsi="Courier New" w:cs="Courier New" w:hint="default"/>
      </w:rPr>
    </w:lvl>
    <w:lvl w:ilvl="2" w:tplc="695A1414" w:tentative="1">
      <w:start w:val="1"/>
      <w:numFmt w:val="bullet"/>
      <w:lvlText w:val=""/>
      <w:lvlJc w:val="left"/>
      <w:pPr>
        <w:ind w:left="2160" w:hanging="360"/>
      </w:pPr>
      <w:rPr>
        <w:rFonts w:ascii="Wingdings" w:hAnsi="Wingdings" w:hint="default"/>
      </w:rPr>
    </w:lvl>
    <w:lvl w:ilvl="3" w:tplc="B29C9A8C" w:tentative="1">
      <w:start w:val="1"/>
      <w:numFmt w:val="bullet"/>
      <w:lvlText w:val=""/>
      <w:lvlJc w:val="left"/>
      <w:pPr>
        <w:ind w:left="2880" w:hanging="360"/>
      </w:pPr>
      <w:rPr>
        <w:rFonts w:ascii="Symbol" w:hAnsi="Symbol" w:hint="default"/>
      </w:rPr>
    </w:lvl>
    <w:lvl w:ilvl="4" w:tplc="6DCEF25C" w:tentative="1">
      <w:start w:val="1"/>
      <w:numFmt w:val="bullet"/>
      <w:lvlText w:val="o"/>
      <w:lvlJc w:val="left"/>
      <w:pPr>
        <w:ind w:left="3600" w:hanging="360"/>
      </w:pPr>
      <w:rPr>
        <w:rFonts w:ascii="Courier New" w:hAnsi="Courier New" w:cs="Courier New" w:hint="default"/>
      </w:rPr>
    </w:lvl>
    <w:lvl w:ilvl="5" w:tplc="5F8CF28A" w:tentative="1">
      <w:start w:val="1"/>
      <w:numFmt w:val="bullet"/>
      <w:lvlText w:val=""/>
      <w:lvlJc w:val="left"/>
      <w:pPr>
        <w:ind w:left="4320" w:hanging="360"/>
      </w:pPr>
      <w:rPr>
        <w:rFonts w:ascii="Wingdings" w:hAnsi="Wingdings" w:hint="default"/>
      </w:rPr>
    </w:lvl>
    <w:lvl w:ilvl="6" w:tplc="5BB487FA" w:tentative="1">
      <w:start w:val="1"/>
      <w:numFmt w:val="bullet"/>
      <w:lvlText w:val=""/>
      <w:lvlJc w:val="left"/>
      <w:pPr>
        <w:ind w:left="5040" w:hanging="360"/>
      </w:pPr>
      <w:rPr>
        <w:rFonts w:ascii="Symbol" w:hAnsi="Symbol" w:hint="default"/>
      </w:rPr>
    </w:lvl>
    <w:lvl w:ilvl="7" w:tplc="05864E0A" w:tentative="1">
      <w:start w:val="1"/>
      <w:numFmt w:val="bullet"/>
      <w:lvlText w:val="o"/>
      <w:lvlJc w:val="left"/>
      <w:pPr>
        <w:ind w:left="5760" w:hanging="360"/>
      </w:pPr>
      <w:rPr>
        <w:rFonts w:ascii="Courier New" w:hAnsi="Courier New" w:cs="Courier New" w:hint="default"/>
      </w:rPr>
    </w:lvl>
    <w:lvl w:ilvl="8" w:tplc="6F22051A"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1B"/>
    <w:rsid w:val="00000A70"/>
    <w:rsid w:val="000032B8"/>
    <w:rsid w:val="00003B06"/>
    <w:rsid w:val="000051BE"/>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48FF"/>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016"/>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5BE"/>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24E"/>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A65"/>
    <w:rsid w:val="00300D7F"/>
    <w:rsid w:val="00301638"/>
    <w:rsid w:val="00303B0C"/>
    <w:rsid w:val="0030459C"/>
    <w:rsid w:val="00312BFA"/>
    <w:rsid w:val="00313DFE"/>
    <w:rsid w:val="003143B2"/>
    <w:rsid w:val="00314821"/>
    <w:rsid w:val="0031483F"/>
    <w:rsid w:val="0031741B"/>
    <w:rsid w:val="00321337"/>
    <w:rsid w:val="00321F2F"/>
    <w:rsid w:val="003237F6"/>
    <w:rsid w:val="00324077"/>
    <w:rsid w:val="0032453B"/>
    <w:rsid w:val="00324868"/>
    <w:rsid w:val="003305F5"/>
    <w:rsid w:val="00331624"/>
    <w:rsid w:val="00333930"/>
    <w:rsid w:val="00336BA4"/>
    <w:rsid w:val="00336C7A"/>
    <w:rsid w:val="00336E60"/>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7F3"/>
    <w:rsid w:val="00377E3D"/>
    <w:rsid w:val="003847E8"/>
    <w:rsid w:val="0038731D"/>
    <w:rsid w:val="00387B60"/>
    <w:rsid w:val="00390098"/>
    <w:rsid w:val="00392DA1"/>
    <w:rsid w:val="00393718"/>
    <w:rsid w:val="003A0296"/>
    <w:rsid w:val="003A10BC"/>
    <w:rsid w:val="003A673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5BB"/>
    <w:rsid w:val="003C664C"/>
    <w:rsid w:val="003D726D"/>
    <w:rsid w:val="003E0875"/>
    <w:rsid w:val="003E0BB8"/>
    <w:rsid w:val="003E6CB0"/>
    <w:rsid w:val="003E7655"/>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8F6"/>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34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B783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409"/>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0D2E"/>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75D"/>
    <w:rsid w:val="005D4DAE"/>
    <w:rsid w:val="005D5BAD"/>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9C"/>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E6B"/>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DAA"/>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95F"/>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965"/>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0BC"/>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37F"/>
    <w:rsid w:val="009E2C2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60E"/>
    <w:rsid w:val="00AE2263"/>
    <w:rsid w:val="00AE248E"/>
    <w:rsid w:val="00AE2D12"/>
    <w:rsid w:val="00AE2F06"/>
    <w:rsid w:val="00AE4F1C"/>
    <w:rsid w:val="00AF1433"/>
    <w:rsid w:val="00AF48B4"/>
    <w:rsid w:val="00AF4923"/>
    <w:rsid w:val="00AF7C74"/>
    <w:rsid w:val="00B000AF"/>
    <w:rsid w:val="00B04E79"/>
    <w:rsid w:val="00B0611B"/>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17E"/>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F73"/>
    <w:rsid w:val="00C013F4"/>
    <w:rsid w:val="00C040AB"/>
    <w:rsid w:val="00C0499B"/>
    <w:rsid w:val="00C05406"/>
    <w:rsid w:val="00C05CF0"/>
    <w:rsid w:val="00C07B2E"/>
    <w:rsid w:val="00C119AC"/>
    <w:rsid w:val="00C14EE6"/>
    <w:rsid w:val="00C151DA"/>
    <w:rsid w:val="00C152A1"/>
    <w:rsid w:val="00C16CCB"/>
    <w:rsid w:val="00C20BF4"/>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43B"/>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E7D"/>
    <w:rsid w:val="00C834CE"/>
    <w:rsid w:val="00C873D1"/>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02C"/>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5AE"/>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C05"/>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546"/>
    <w:rsid w:val="00E15F90"/>
    <w:rsid w:val="00E16D3E"/>
    <w:rsid w:val="00E17167"/>
    <w:rsid w:val="00E20520"/>
    <w:rsid w:val="00E21D55"/>
    <w:rsid w:val="00E21FDC"/>
    <w:rsid w:val="00E2402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34A"/>
    <w:rsid w:val="00EA658E"/>
    <w:rsid w:val="00EA7A88"/>
    <w:rsid w:val="00EB02D7"/>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874"/>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EC34C5-F875-472A-AC7D-5D7AD7AF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0611B"/>
    <w:rPr>
      <w:sz w:val="16"/>
      <w:szCs w:val="16"/>
    </w:rPr>
  </w:style>
  <w:style w:type="paragraph" w:styleId="CommentText">
    <w:name w:val="annotation text"/>
    <w:basedOn w:val="Normal"/>
    <w:link w:val="CommentTextChar"/>
    <w:semiHidden/>
    <w:unhideWhenUsed/>
    <w:rsid w:val="00B0611B"/>
    <w:rPr>
      <w:sz w:val="20"/>
      <w:szCs w:val="20"/>
    </w:rPr>
  </w:style>
  <w:style w:type="character" w:customStyle="1" w:styleId="CommentTextChar">
    <w:name w:val="Comment Text Char"/>
    <w:basedOn w:val="DefaultParagraphFont"/>
    <w:link w:val="CommentText"/>
    <w:semiHidden/>
    <w:rsid w:val="00B0611B"/>
  </w:style>
  <w:style w:type="paragraph" w:styleId="CommentSubject">
    <w:name w:val="annotation subject"/>
    <w:basedOn w:val="CommentText"/>
    <w:next w:val="CommentText"/>
    <w:link w:val="CommentSubjectChar"/>
    <w:semiHidden/>
    <w:unhideWhenUsed/>
    <w:rsid w:val="00B0611B"/>
    <w:rPr>
      <w:b/>
      <w:bCs/>
    </w:rPr>
  </w:style>
  <w:style w:type="character" w:customStyle="1" w:styleId="CommentSubjectChar">
    <w:name w:val="Comment Subject Char"/>
    <w:basedOn w:val="CommentTextChar"/>
    <w:link w:val="CommentSubject"/>
    <w:semiHidden/>
    <w:rsid w:val="00B0611B"/>
    <w:rPr>
      <w:b/>
      <w:bCs/>
    </w:rPr>
  </w:style>
  <w:style w:type="paragraph" w:styleId="Revision">
    <w:name w:val="Revision"/>
    <w:hidden/>
    <w:uiPriority w:val="99"/>
    <w:semiHidden/>
    <w:rsid w:val="008A395F"/>
    <w:rPr>
      <w:sz w:val="24"/>
      <w:szCs w:val="24"/>
    </w:rPr>
  </w:style>
  <w:style w:type="paragraph" w:styleId="ListParagraph">
    <w:name w:val="List Paragraph"/>
    <w:basedOn w:val="Normal"/>
    <w:uiPriority w:val="34"/>
    <w:qFormat/>
    <w:rsid w:val="00C0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5276</Characters>
  <Application>Microsoft Office Word</Application>
  <DocSecurity>4</DocSecurity>
  <Lines>116</Lines>
  <Paragraphs>42</Paragraphs>
  <ScaleCrop>false</ScaleCrop>
  <HeadingPairs>
    <vt:vector size="2" baseType="variant">
      <vt:variant>
        <vt:lpstr>Title</vt:lpstr>
      </vt:variant>
      <vt:variant>
        <vt:i4>1</vt:i4>
      </vt:variant>
    </vt:vector>
  </HeadingPairs>
  <TitlesOfParts>
    <vt:vector size="1" baseType="lpstr">
      <vt:lpstr>BA - HB02265 (Committee Report (Substituted))</vt:lpstr>
    </vt:vector>
  </TitlesOfParts>
  <Company>State of Texas</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25820</dc:subject>
  <dc:creator>State of Texas</dc:creator>
  <dc:description>HB 2265 by Leach-(H)State Affairs (Substitute Document Number: 88R 23814)</dc:description>
  <cp:lastModifiedBy>Alan Gonzalez Otero</cp:lastModifiedBy>
  <cp:revision>2</cp:revision>
  <cp:lastPrinted>2003-11-26T17:21:00Z</cp:lastPrinted>
  <dcterms:created xsi:type="dcterms:W3CDTF">2023-04-28T01:07:00Z</dcterms:created>
  <dcterms:modified xsi:type="dcterms:W3CDTF">2023-04-28T01:07:00Z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23.115.2659</vt:lpwstr>
  </property>
</Properties>
</file>