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56C43" w14:paraId="25E768BC" w14:textId="77777777">
        <w:tc>
          <w:tcPr>
            <w:tcW w:w="9576" w:type="dxa"/>
            <w:noWrap/>
          </w:tcPr>
          <w:p w14:paraId="659F28A7" w14:textId="77777777" w:rsidR="008423E4" w:rsidRPr="0022177D" w:rsidRDefault="00560801" w:rsidP="00BF0A6E">
            <w:pPr>
              <w:pStyle w:val="Heading1"/>
            </w:pPr>
            <w:r w:rsidRPr="00631897">
              <w:t>BILL ANALYSIS</w:t>
            </w:r>
          </w:p>
        </w:tc>
      </w:tr>
    </w:tbl>
    <w:p w14:paraId="39A9B483" w14:textId="77777777" w:rsidR="008423E4" w:rsidRPr="0022177D" w:rsidRDefault="008423E4" w:rsidP="00BF0A6E">
      <w:pPr>
        <w:jc w:val="center"/>
      </w:pPr>
    </w:p>
    <w:p w14:paraId="3E7ED29E" w14:textId="77777777" w:rsidR="008423E4" w:rsidRPr="00B31F0E" w:rsidRDefault="008423E4" w:rsidP="00BF0A6E"/>
    <w:p w14:paraId="2262C6C0" w14:textId="77777777" w:rsidR="008423E4" w:rsidRPr="00742794" w:rsidRDefault="008423E4" w:rsidP="00BF0A6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56C43" w14:paraId="48E5F613" w14:textId="77777777">
        <w:tc>
          <w:tcPr>
            <w:tcW w:w="9576" w:type="dxa"/>
          </w:tcPr>
          <w:p w14:paraId="426F74F0" w14:textId="00903411" w:rsidR="008423E4" w:rsidRPr="00861995" w:rsidRDefault="00560801" w:rsidP="00BF0A6E">
            <w:pPr>
              <w:jc w:val="right"/>
            </w:pPr>
            <w:r>
              <w:t>H.B. 2268</w:t>
            </w:r>
          </w:p>
        </w:tc>
      </w:tr>
      <w:tr w:rsidR="00F56C43" w14:paraId="535AE4D7" w14:textId="77777777">
        <w:tc>
          <w:tcPr>
            <w:tcW w:w="9576" w:type="dxa"/>
          </w:tcPr>
          <w:p w14:paraId="391E1D68" w14:textId="2117E0DE" w:rsidR="008423E4" w:rsidRPr="00861995" w:rsidRDefault="00560801" w:rsidP="00BF0A6E">
            <w:pPr>
              <w:jc w:val="right"/>
            </w:pPr>
            <w:r>
              <w:t xml:space="preserve">By: </w:t>
            </w:r>
            <w:r w:rsidR="00FA2CC8">
              <w:t>Dutton</w:t>
            </w:r>
          </w:p>
        </w:tc>
      </w:tr>
      <w:tr w:rsidR="00F56C43" w14:paraId="52D2F194" w14:textId="77777777">
        <w:tc>
          <w:tcPr>
            <w:tcW w:w="9576" w:type="dxa"/>
          </w:tcPr>
          <w:p w14:paraId="6109DF93" w14:textId="04A14275" w:rsidR="008423E4" w:rsidRPr="00861995" w:rsidRDefault="00560801" w:rsidP="00BF0A6E">
            <w:pPr>
              <w:jc w:val="right"/>
            </w:pPr>
            <w:r>
              <w:t>Juvenile Justice &amp; Family Issues</w:t>
            </w:r>
          </w:p>
        </w:tc>
      </w:tr>
      <w:tr w:rsidR="00F56C43" w14:paraId="3D232818" w14:textId="77777777">
        <w:tc>
          <w:tcPr>
            <w:tcW w:w="9576" w:type="dxa"/>
          </w:tcPr>
          <w:p w14:paraId="018A992E" w14:textId="383B31D5" w:rsidR="008423E4" w:rsidRDefault="00560801" w:rsidP="00BF0A6E">
            <w:pPr>
              <w:jc w:val="right"/>
            </w:pPr>
            <w:r>
              <w:t>Committee Report (Unamended)</w:t>
            </w:r>
          </w:p>
        </w:tc>
      </w:tr>
    </w:tbl>
    <w:p w14:paraId="08C5E4E9" w14:textId="77777777" w:rsidR="008423E4" w:rsidRDefault="008423E4" w:rsidP="00BF0A6E">
      <w:pPr>
        <w:tabs>
          <w:tab w:val="right" w:pos="9360"/>
        </w:tabs>
      </w:pPr>
    </w:p>
    <w:p w14:paraId="2AEB6276" w14:textId="77777777" w:rsidR="008423E4" w:rsidRDefault="008423E4" w:rsidP="00BF0A6E"/>
    <w:p w14:paraId="232D1BF7" w14:textId="77777777" w:rsidR="008423E4" w:rsidRDefault="008423E4" w:rsidP="00BF0A6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56C43" w14:paraId="2BBA3CBC" w14:textId="77777777">
        <w:tc>
          <w:tcPr>
            <w:tcW w:w="9576" w:type="dxa"/>
          </w:tcPr>
          <w:p w14:paraId="14969711" w14:textId="77777777" w:rsidR="008423E4" w:rsidRPr="00A8133F" w:rsidRDefault="00560801" w:rsidP="00BF0A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2E33D3" w14:textId="77777777" w:rsidR="008423E4" w:rsidRDefault="008423E4" w:rsidP="00BF0A6E"/>
          <w:p w14:paraId="37871EE3" w14:textId="7416C3F5" w:rsidR="008423E4" w:rsidRDefault="00560801" w:rsidP="00BF0A6E">
            <w:pPr>
              <w:pStyle w:val="BodyText"/>
              <w:jc w:val="both"/>
            </w:pPr>
            <w:r>
              <w:t>Current law provides for the referral of</w:t>
            </w:r>
            <w:r w:rsidR="00194201">
              <w:t xml:space="preserve"> court</w:t>
            </w:r>
            <w:r>
              <w:t xml:space="preserve"> proceedings to</w:t>
            </w:r>
            <w:r>
              <w:rPr>
                <w:spacing w:val="-5"/>
              </w:rPr>
              <w:t xml:space="preserve"> </w:t>
            </w:r>
            <w:r w:rsidR="004B47AA">
              <w:rPr>
                <w:spacing w:val="-5"/>
              </w:rPr>
              <w:t xml:space="preserve">an </w:t>
            </w:r>
            <w:r>
              <w:t>associate</w:t>
            </w:r>
            <w:r>
              <w:rPr>
                <w:spacing w:val="-8"/>
              </w:rPr>
              <w:t xml:space="preserve"> </w:t>
            </w:r>
            <w:r>
              <w:t>judge</w:t>
            </w:r>
            <w:r>
              <w:rPr>
                <w:spacing w:val="-8"/>
              </w:rPr>
              <w:t xml:space="preserve"> </w:t>
            </w:r>
            <w:r w:rsidR="00C10A4C">
              <w:t>in</w:t>
            </w:r>
            <w:r>
              <w:t xml:space="preserve"> certain </w:t>
            </w:r>
            <w:r w:rsidR="00C10A4C">
              <w:t>suits under the Family Code</w:t>
            </w:r>
            <w:r w:rsidR="004B47AA">
              <w:t>.</w:t>
            </w:r>
            <w:r>
              <w:t xml:space="preserve"> </w:t>
            </w:r>
            <w:r w:rsidR="00FA2CC8">
              <w:t xml:space="preserve">The </w:t>
            </w:r>
            <w:r w:rsidR="00891D45">
              <w:t>l</w:t>
            </w:r>
            <w:r w:rsidR="00FA2CC8">
              <w:t xml:space="preserve">egislature authorized </w:t>
            </w:r>
            <w:r w:rsidR="004B47AA">
              <w:t>such referral</w:t>
            </w:r>
            <w:r w:rsidR="00957DDA">
              <w:t>s</w:t>
            </w:r>
            <w:r w:rsidR="00FA2CC8">
              <w:t xml:space="preserve"> to assist district and county courts with the disposition of family law matters in their courts</w:t>
            </w:r>
            <w:r w:rsidR="004B47AA">
              <w:t>, but</w:t>
            </w:r>
            <w:r w:rsidR="004B47AA">
              <w:rPr>
                <w:spacing w:val="-6"/>
              </w:rPr>
              <w:t xml:space="preserve"> </w:t>
            </w:r>
            <w:r w:rsidR="004B47AA">
              <w:t>judges</w:t>
            </w:r>
            <w:r w:rsidR="004B47AA">
              <w:rPr>
                <w:spacing w:val="-5"/>
              </w:rPr>
              <w:t xml:space="preserve"> </w:t>
            </w:r>
            <w:r w:rsidR="004B47AA">
              <w:t>do</w:t>
            </w:r>
            <w:r w:rsidR="004B47AA">
              <w:rPr>
                <w:spacing w:val="-5"/>
              </w:rPr>
              <w:t xml:space="preserve"> </w:t>
            </w:r>
            <w:r w:rsidR="004B47AA">
              <w:t>not</w:t>
            </w:r>
            <w:r w:rsidR="004B47AA">
              <w:rPr>
                <w:spacing w:val="-6"/>
              </w:rPr>
              <w:t xml:space="preserve"> </w:t>
            </w:r>
            <w:r w:rsidR="004B47AA">
              <w:t>have</w:t>
            </w:r>
            <w:r w:rsidR="004B47AA">
              <w:rPr>
                <w:spacing w:val="-5"/>
              </w:rPr>
              <w:t xml:space="preserve"> </w:t>
            </w:r>
            <w:r w:rsidR="004B47AA">
              <w:t>the</w:t>
            </w:r>
            <w:r w:rsidR="004B47AA">
              <w:rPr>
                <w:spacing w:val="-5"/>
              </w:rPr>
              <w:t xml:space="preserve"> </w:t>
            </w:r>
            <w:r w:rsidR="004B47AA">
              <w:t>authority</w:t>
            </w:r>
            <w:r w:rsidR="004B47AA">
              <w:rPr>
                <w:spacing w:val="-5"/>
              </w:rPr>
              <w:t xml:space="preserve"> </w:t>
            </w:r>
            <w:r w:rsidR="004B47AA">
              <w:t>to</w:t>
            </w:r>
            <w:r w:rsidR="004B47AA">
              <w:rPr>
                <w:spacing w:val="-6"/>
              </w:rPr>
              <w:t xml:space="preserve"> </w:t>
            </w:r>
            <w:r w:rsidR="004B47AA">
              <w:t>refer</w:t>
            </w:r>
            <w:r w:rsidR="004B47AA">
              <w:rPr>
                <w:spacing w:val="-4"/>
              </w:rPr>
              <w:t xml:space="preserve"> </w:t>
            </w:r>
            <w:r w:rsidR="004B47AA">
              <w:t>to</w:t>
            </w:r>
            <w:r w:rsidR="004B47AA">
              <w:rPr>
                <w:spacing w:val="-5"/>
              </w:rPr>
              <w:t xml:space="preserve"> </w:t>
            </w:r>
            <w:r w:rsidR="004B47AA">
              <w:t>an</w:t>
            </w:r>
            <w:r w:rsidR="004B47AA">
              <w:rPr>
                <w:spacing w:val="-5"/>
              </w:rPr>
              <w:t xml:space="preserve"> </w:t>
            </w:r>
            <w:r w:rsidR="004B47AA">
              <w:t>associate</w:t>
            </w:r>
            <w:r w:rsidR="004B47AA">
              <w:rPr>
                <w:spacing w:val="-6"/>
              </w:rPr>
              <w:t xml:space="preserve"> </w:t>
            </w:r>
            <w:r w:rsidR="004B47AA">
              <w:t>judge</w:t>
            </w:r>
            <w:r w:rsidR="004B47AA">
              <w:rPr>
                <w:spacing w:val="-5"/>
              </w:rPr>
              <w:t xml:space="preserve"> </w:t>
            </w:r>
            <w:r w:rsidR="00572CF6">
              <w:rPr>
                <w:spacing w:val="-5"/>
              </w:rPr>
              <w:t>certain protective order</w:t>
            </w:r>
            <w:r w:rsidR="004B47AA">
              <w:rPr>
                <w:spacing w:val="-5"/>
              </w:rPr>
              <w:t xml:space="preserve"> </w:t>
            </w:r>
            <w:r w:rsidR="004B47AA">
              <w:t>application</w:t>
            </w:r>
            <w:r w:rsidR="00572CF6">
              <w:t xml:space="preserve">s, </w:t>
            </w:r>
            <w:r w:rsidR="004B47AA">
              <w:t>application</w:t>
            </w:r>
            <w:r w:rsidR="00957DDA">
              <w:t>s</w:t>
            </w:r>
            <w:r w:rsidR="004B47AA">
              <w:t xml:space="preserve"> for </w:t>
            </w:r>
            <w:r w:rsidR="00572CF6">
              <w:t xml:space="preserve">certain </w:t>
            </w:r>
            <w:r w:rsidR="004B47AA">
              <w:t>writ</w:t>
            </w:r>
            <w:r w:rsidR="00572CF6">
              <w:t xml:space="preserve">s relating </w:t>
            </w:r>
            <w:r w:rsidR="00957DDA">
              <w:t xml:space="preserve">to </w:t>
            </w:r>
            <w:r w:rsidR="00957DDA" w:rsidRPr="00D14F22">
              <w:t xml:space="preserve">access to </w:t>
            </w:r>
            <w:r w:rsidR="00957DDA">
              <w:t xml:space="preserve">a </w:t>
            </w:r>
            <w:r w:rsidR="00957DDA" w:rsidRPr="00D14F22">
              <w:t xml:space="preserve">residence </w:t>
            </w:r>
            <w:r w:rsidR="00340B6E">
              <w:t>for the</w:t>
            </w:r>
            <w:r w:rsidR="00957DDA" w:rsidRPr="00D14F22">
              <w:t xml:space="preserve"> retriev</w:t>
            </w:r>
            <w:r w:rsidR="00340B6E">
              <w:t>al of</w:t>
            </w:r>
            <w:r w:rsidR="00957DDA" w:rsidRPr="00D14F22">
              <w:t xml:space="preserve"> personal property</w:t>
            </w:r>
            <w:r w:rsidR="00572CF6">
              <w:t>,</w:t>
            </w:r>
            <w:r w:rsidR="004B47AA">
              <w:t xml:space="preserve"> or petition</w:t>
            </w:r>
            <w:r w:rsidR="00572CF6">
              <w:t>s</w:t>
            </w:r>
            <w:r w:rsidR="004B47AA">
              <w:t xml:space="preserve"> for </w:t>
            </w:r>
            <w:r w:rsidR="00957DDA">
              <w:t xml:space="preserve">temporary </w:t>
            </w:r>
            <w:r w:rsidR="004B47AA">
              <w:t>authorization</w:t>
            </w:r>
            <w:r w:rsidR="00957DDA">
              <w:t>s</w:t>
            </w:r>
            <w:r w:rsidR="004B47AA">
              <w:t xml:space="preserve"> relating to </w:t>
            </w:r>
            <w:r w:rsidR="00957DDA">
              <w:t>care or</w:t>
            </w:r>
            <w:r w:rsidR="004B47AA">
              <w:t xml:space="preserve"> mental health services for a minor child. </w:t>
            </w:r>
            <w:r w:rsidR="00FA2CC8">
              <w:t>Limiting the ability of courts to refer matters involving family violence</w:t>
            </w:r>
            <w:r w:rsidR="00FA2CC8">
              <w:rPr>
                <w:spacing w:val="-13"/>
              </w:rPr>
              <w:t xml:space="preserve"> </w:t>
            </w:r>
            <w:r w:rsidR="00FA2CC8">
              <w:t>or</w:t>
            </w:r>
            <w:r w:rsidR="00FA2CC8">
              <w:rPr>
                <w:spacing w:val="-13"/>
              </w:rPr>
              <w:t xml:space="preserve"> </w:t>
            </w:r>
            <w:r w:rsidR="00FA2CC8">
              <w:t>the</w:t>
            </w:r>
            <w:r w:rsidR="00FA2CC8">
              <w:rPr>
                <w:spacing w:val="-13"/>
              </w:rPr>
              <w:t xml:space="preserve"> </w:t>
            </w:r>
            <w:r w:rsidR="00FA2CC8">
              <w:t>needs</w:t>
            </w:r>
            <w:r w:rsidR="00FA2CC8">
              <w:rPr>
                <w:spacing w:val="-12"/>
              </w:rPr>
              <w:t xml:space="preserve"> </w:t>
            </w:r>
            <w:r w:rsidR="00FA2CC8">
              <w:t>of</w:t>
            </w:r>
            <w:r w:rsidR="00FA2CC8">
              <w:rPr>
                <w:spacing w:val="-13"/>
              </w:rPr>
              <w:t xml:space="preserve"> </w:t>
            </w:r>
            <w:r w:rsidR="00FA2CC8">
              <w:t>children</w:t>
            </w:r>
            <w:r w:rsidR="00FA2CC8">
              <w:rPr>
                <w:spacing w:val="-13"/>
              </w:rPr>
              <w:t xml:space="preserve"> </w:t>
            </w:r>
            <w:r w:rsidR="00FA2CC8">
              <w:t>to</w:t>
            </w:r>
            <w:r w:rsidR="00FA2CC8">
              <w:rPr>
                <w:spacing w:val="-13"/>
              </w:rPr>
              <w:t xml:space="preserve"> </w:t>
            </w:r>
            <w:r w:rsidR="00FA2CC8">
              <w:t>an</w:t>
            </w:r>
            <w:r w:rsidR="00FA2CC8">
              <w:rPr>
                <w:spacing w:val="-13"/>
              </w:rPr>
              <w:t xml:space="preserve"> </w:t>
            </w:r>
            <w:r w:rsidR="00FA2CC8">
              <w:t>associate</w:t>
            </w:r>
            <w:r w:rsidR="00FA2CC8">
              <w:rPr>
                <w:spacing w:val="-13"/>
              </w:rPr>
              <w:t xml:space="preserve"> </w:t>
            </w:r>
            <w:r w:rsidR="00FA2CC8">
              <w:t>judge</w:t>
            </w:r>
            <w:r w:rsidR="00FA2CC8">
              <w:rPr>
                <w:spacing w:val="-13"/>
              </w:rPr>
              <w:t xml:space="preserve"> </w:t>
            </w:r>
            <w:r w:rsidR="00FA2CC8">
              <w:t>for</w:t>
            </w:r>
            <w:r w:rsidR="00FA2CC8">
              <w:rPr>
                <w:spacing w:val="-13"/>
              </w:rPr>
              <w:t xml:space="preserve"> </w:t>
            </w:r>
            <w:r w:rsidR="00FA2CC8">
              <w:t>prompt</w:t>
            </w:r>
            <w:r w:rsidR="00FA2CC8">
              <w:rPr>
                <w:spacing w:val="-13"/>
              </w:rPr>
              <w:t xml:space="preserve"> </w:t>
            </w:r>
            <w:r w:rsidR="00FA2CC8">
              <w:t>consideration</w:t>
            </w:r>
            <w:r w:rsidR="00FA2CC8">
              <w:rPr>
                <w:spacing w:val="-13"/>
              </w:rPr>
              <w:t xml:space="preserve"> </w:t>
            </w:r>
            <w:r w:rsidR="00FA2CC8">
              <w:t>and</w:t>
            </w:r>
            <w:r w:rsidR="00FA2CC8">
              <w:rPr>
                <w:spacing w:val="-13"/>
              </w:rPr>
              <w:t xml:space="preserve"> </w:t>
            </w:r>
            <w:r w:rsidR="00FA2CC8">
              <w:t xml:space="preserve">disposition impacts </w:t>
            </w:r>
            <w:r w:rsidR="00891D45">
              <w:t>a</w:t>
            </w:r>
            <w:r w:rsidR="00FA2CC8">
              <w:t xml:space="preserve"> </w:t>
            </w:r>
            <w:r w:rsidR="00891D45">
              <w:t xml:space="preserve">court's </w:t>
            </w:r>
            <w:r w:rsidR="00FA2CC8">
              <w:t>ability to address time</w:t>
            </w:r>
            <w:r w:rsidR="008D08A2">
              <w:t>-</w:t>
            </w:r>
            <w:r w:rsidR="00FA2CC8">
              <w:t>sensitive matters involving victims of family</w:t>
            </w:r>
            <w:r w:rsidR="00FA2CC8">
              <w:rPr>
                <w:spacing w:val="-1"/>
              </w:rPr>
              <w:t xml:space="preserve"> </w:t>
            </w:r>
            <w:r w:rsidR="00FA2CC8">
              <w:t>violence</w:t>
            </w:r>
            <w:r w:rsidR="00FA2CC8">
              <w:rPr>
                <w:spacing w:val="-1"/>
              </w:rPr>
              <w:t xml:space="preserve"> </w:t>
            </w:r>
            <w:r w:rsidR="00FA2CC8">
              <w:t>and</w:t>
            </w:r>
            <w:r w:rsidR="00FA2CC8">
              <w:rPr>
                <w:spacing w:val="-1"/>
              </w:rPr>
              <w:t xml:space="preserve"> </w:t>
            </w:r>
            <w:r w:rsidR="00FA2CC8">
              <w:t>children</w:t>
            </w:r>
            <w:r w:rsidR="00FA2CC8">
              <w:rPr>
                <w:spacing w:val="-1"/>
              </w:rPr>
              <w:t xml:space="preserve"> </w:t>
            </w:r>
            <w:r w:rsidR="00FA2CC8">
              <w:t>in</w:t>
            </w:r>
            <w:r w:rsidR="00FA2CC8">
              <w:rPr>
                <w:spacing w:val="-1"/>
              </w:rPr>
              <w:t xml:space="preserve"> </w:t>
            </w:r>
            <w:r w:rsidR="00FA2CC8">
              <w:t>need</w:t>
            </w:r>
            <w:r w:rsidR="00FA2CC8">
              <w:rPr>
                <w:spacing w:val="-1"/>
              </w:rPr>
              <w:t xml:space="preserve"> </w:t>
            </w:r>
            <w:r w:rsidR="00FA2CC8">
              <w:t>of</w:t>
            </w:r>
            <w:r w:rsidR="00FA2CC8">
              <w:rPr>
                <w:spacing w:val="-1"/>
              </w:rPr>
              <w:t xml:space="preserve"> </w:t>
            </w:r>
            <w:r w:rsidR="00FA2CC8">
              <w:t>care.</w:t>
            </w:r>
            <w:r w:rsidR="00FA2CC8">
              <w:rPr>
                <w:spacing w:val="-1"/>
              </w:rPr>
              <w:t xml:space="preserve"> </w:t>
            </w:r>
            <w:r w:rsidR="00891D45">
              <w:t>H.B. 2268 seeks to authoriz</w:t>
            </w:r>
            <w:r w:rsidR="00431C83">
              <w:t>e</w:t>
            </w:r>
            <w:r w:rsidR="00891D45">
              <w:t xml:space="preserve"> a court </w:t>
            </w:r>
            <w:r w:rsidR="00FA2CC8">
              <w:t>to</w:t>
            </w:r>
            <w:r w:rsidR="00FA2CC8">
              <w:rPr>
                <w:spacing w:val="-7"/>
              </w:rPr>
              <w:t xml:space="preserve"> </w:t>
            </w:r>
            <w:r w:rsidR="00FA2CC8">
              <w:t>refer</w:t>
            </w:r>
            <w:r w:rsidR="00FA2CC8">
              <w:rPr>
                <w:spacing w:val="-7"/>
              </w:rPr>
              <w:t xml:space="preserve"> </w:t>
            </w:r>
            <w:r w:rsidR="00FA2CC8">
              <w:t>to</w:t>
            </w:r>
            <w:r w:rsidR="00FA2CC8">
              <w:rPr>
                <w:spacing w:val="-7"/>
              </w:rPr>
              <w:t xml:space="preserve"> </w:t>
            </w:r>
            <w:r w:rsidR="00FA2CC8">
              <w:t>an</w:t>
            </w:r>
            <w:r w:rsidR="00FA2CC8">
              <w:rPr>
                <w:spacing w:val="-7"/>
              </w:rPr>
              <w:t xml:space="preserve"> </w:t>
            </w:r>
            <w:r w:rsidR="00FA2CC8">
              <w:t>associate</w:t>
            </w:r>
            <w:r w:rsidR="00FA2CC8">
              <w:rPr>
                <w:spacing w:val="-7"/>
              </w:rPr>
              <w:t xml:space="preserve"> </w:t>
            </w:r>
            <w:r w:rsidR="00FA2CC8">
              <w:t>judge</w:t>
            </w:r>
            <w:r w:rsidR="00FA2CC8">
              <w:rPr>
                <w:spacing w:val="-7"/>
              </w:rPr>
              <w:t xml:space="preserve"> </w:t>
            </w:r>
            <w:r w:rsidR="00FA2CC8">
              <w:t>an</w:t>
            </w:r>
            <w:r w:rsidR="00F0433D">
              <w:t xml:space="preserve"> action relating to</w:t>
            </w:r>
            <w:r w:rsidR="00FA2CC8">
              <w:rPr>
                <w:spacing w:val="-7"/>
              </w:rPr>
              <w:t xml:space="preserve"> </w:t>
            </w:r>
            <w:r w:rsidR="00FA2CC8">
              <w:t>a</w:t>
            </w:r>
            <w:r w:rsidR="00FA2CC8">
              <w:rPr>
                <w:spacing w:val="-7"/>
              </w:rPr>
              <w:t xml:space="preserve"> </w:t>
            </w:r>
            <w:r w:rsidR="00FA2CC8">
              <w:t>protective</w:t>
            </w:r>
            <w:r w:rsidR="00FA2CC8">
              <w:rPr>
                <w:spacing w:val="-7"/>
              </w:rPr>
              <w:t xml:space="preserve"> </w:t>
            </w:r>
            <w:r w:rsidR="00FA2CC8">
              <w:t>order</w:t>
            </w:r>
            <w:r w:rsidR="00572CF6">
              <w:t xml:space="preserve"> for a victim of human trafficking, sexual assault</w:t>
            </w:r>
            <w:r w:rsidR="00194201">
              <w:t xml:space="preserve"> or abuse</w:t>
            </w:r>
            <w:r w:rsidR="00572CF6">
              <w:t>, or stalking</w:t>
            </w:r>
            <w:r w:rsidR="00DA2360">
              <w:t>,</w:t>
            </w:r>
            <w:r w:rsidR="00FA2CC8">
              <w:rPr>
                <w:spacing w:val="-1"/>
              </w:rPr>
              <w:t xml:space="preserve"> </w:t>
            </w:r>
            <w:r w:rsidR="00DA2360" w:rsidRPr="00D14F22">
              <w:t xml:space="preserve">access to </w:t>
            </w:r>
            <w:r w:rsidR="00DA2360">
              <w:t xml:space="preserve">a </w:t>
            </w:r>
            <w:r w:rsidR="00DA2360" w:rsidRPr="00D14F22">
              <w:t>residence or former residence to retrieve personal property</w:t>
            </w:r>
            <w:r w:rsidR="00FA2CC8">
              <w:t xml:space="preserve">, </w:t>
            </w:r>
            <w:r w:rsidR="00432A54">
              <w:t xml:space="preserve">and the </w:t>
            </w:r>
            <w:r w:rsidR="00FA2CC8">
              <w:t>temporary authorization</w:t>
            </w:r>
            <w:r w:rsidR="00572CF6">
              <w:t xml:space="preserve"> </w:t>
            </w:r>
            <w:r w:rsidR="00E51EEF">
              <w:t>for care or inpatient</w:t>
            </w:r>
            <w:r w:rsidR="00572CF6">
              <w:t xml:space="preserve"> mental health services</w:t>
            </w:r>
            <w:r w:rsidR="00340B6E">
              <w:t xml:space="preserve"> for a minor child</w:t>
            </w:r>
            <w:r w:rsidR="00FA2CC8">
              <w:t>.</w:t>
            </w:r>
          </w:p>
          <w:p w14:paraId="55B8C068" w14:textId="77777777" w:rsidR="008423E4" w:rsidRPr="00E26B13" w:rsidRDefault="008423E4" w:rsidP="00BF0A6E">
            <w:pPr>
              <w:rPr>
                <w:b/>
              </w:rPr>
            </w:pPr>
          </w:p>
        </w:tc>
      </w:tr>
      <w:tr w:rsidR="00F56C43" w14:paraId="4EAC8BD5" w14:textId="77777777">
        <w:tc>
          <w:tcPr>
            <w:tcW w:w="9576" w:type="dxa"/>
          </w:tcPr>
          <w:p w14:paraId="22B8C1CE" w14:textId="77777777" w:rsidR="0017725B" w:rsidRDefault="00560801" w:rsidP="00BF0A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4EFB695" w14:textId="77777777" w:rsidR="0017725B" w:rsidRDefault="0017725B" w:rsidP="00BF0A6E">
            <w:pPr>
              <w:rPr>
                <w:b/>
                <w:u w:val="single"/>
              </w:rPr>
            </w:pPr>
          </w:p>
          <w:p w14:paraId="5F5D347E" w14:textId="15B3BCB0" w:rsidR="00542E58" w:rsidRPr="00542E58" w:rsidRDefault="00560801" w:rsidP="00BF0A6E">
            <w:pPr>
              <w:jc w:val="both"/>
            </w:pPr>
            <w:r>
              <w:t>It is the committee's opinion that this bill does not expressly create a criminal offense, increase the punishment for an existi</w:t>
            </w:r>
            <w:r>
              <w:t>ng criminal offense or category of offenses, or change the eligibility of a person for community supervision, parole, or mandatory supervision.</w:t>
            </w:r>
          </w:p>
          <w:p w14:paraId="6FD16214" w14:textId="77777777" w:rsidR="0017725B" w:rsidRPr="0017725B" w:rsidRDefault="0017725B" w:rsidP="00BF0A6E">
            <w:pPr>
              <w:rPr>
                <w:b/>
                <w:u w:val="single"/>
              </w:rPr>
            </w:pPr>
          </w:p>
        </w:tc>
      </w:tr>
      <w:tr w:rsidR="00F56C43" w14:paraId="495A4F71" w14:textId="77777777">
        <w:tc>
          <w:tcPr>
            <w:tcW w:w="9576" w:type="dxa"/>
          </w:tcPr>
          <w:p w14:paraId="4C7D39E1" w14:textId="77777777" w:rsidR="008423E4" w:rsidRPr="00A8133F" w:rsidRDefault="00560801" w:rsidP="00BF0A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B223BDC" w14:textId="77777777" w:rsidR="008423E4" w:rsidRDefault="008423E4" w:rsidP="00BF0A6E"/>
          <w:p w14:paraId="3BF9EBFC" w14:textId="7DDEEED2" w:rsidR="00542E58" w:rsidRDefault="00560801" w:rsidP="00BF0A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44F014C9" w14:textId="77777777" w:rsidR="008423E4" w:rsidRPr="00E21FDC" w:rsidRDefault="008423E4" w:rsidP="00BF0A6E">
            <w:pPr>
              <w:rPr>
                <w:b/>
              </w:rPr>
            </w:pPr>
          </w:p>
        </w:tc>
      </w:tr>
      <w:tr w:rsidR="00F56C43" w14:paraId="6730AD8C" w14:textId="77777777">
        <w:tc>
          <w:tcPr>
            <w:tcW w:w="9576" w:type="dxa"/>
          </w:tcPr>
          <w:p w14:paraId="28A67586" w14:textId="77777777" w:rsidR="008423E4" w:rsidRPr="00A8133F" w:rsidRDefault="00560801" w:rsidP="00BF0A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4F7567F" w14:textId="77777777" w:rsidR="008423E4" w:rsidRDefault="008423E4" w:rsidP="00BF0A6E"/>
          <w:p w14:paraId="1EE805F6" w14:textId="73607E56" w:rsidR="009A2642" w:rsidRDefault="00560801" w:rsidP="00BF0A6E">
            <w:pPr>
              <w:pStyle w:val="Header"/>
              <w:jc w:val="both"/>
            </w:pPr>
            <w:r>
              <w:t xml:space="preserve">H.B. 2268 amends the Family Code to expand the case matter </w:t>
            </w:r>
            <w:r w:rsidR="002D2E0C">
              <w:t>that</w:t>
            </w:r>
            <w:r>
              <w:t xml:space="preserve"> a judge</w:t>
            </w:r>
            <w:r w:rsidR="00666182">
              <w:t xml:space="preserve"> of a court</w:t>
            </w:r>
            <w:r>
              <w:t xml:space="preserve"> may refer to an associate judge </w:t>
            </w:r>
            <w:r w:rsidR="00713F43">
              <w:t xml:space="preserve">to include </w:t>
            </w:r>
            <w:r>
              <w:t xml:space="preserve">any aspect of </w:t>
            </w:r>
            <w:r w:rsidR="00713F43">
              <w:t>an</w:t>
            </w:r>
            <w:r>
              <w:t xml:space="preserve"> action, including </w:t>
            </w:r>
            <w:r w:rsidRPr="009A2642">
              <w:t>any matter ancillary to the action,</w:t>
            </w:r>
            <w:r>
              <w:t xml:space="preserve"> over which the court has jurisdiction </w:t>
            </w:r>
            <w:r w:rsidR="002D2E0C">
              <w:t xml:space="preserve">under </w:t>
            </w:r>
            <w:r w:rsidR="004C1DD8">
              <w:t>statutory provisions</w:t>
            </w:r>
            <w:r w:rsidR="00713F43">
              <w:t xml:space="preserve"> relating to the following</w:t>
            </w:r>
            <w:r>
              <w:t xml:space="preserve">: </w:t>
            </w:r>
          </w:p>
          <w:p w14:paraId="48CFFD79" w14:textId="024FBCE6" w:rsidR="00383294" w:rsidRDefault="00560801" w:rsidP="00BF0A6E">
            <w:pPr>
              <w:pStyle w:val="Header"/>
              <w:numPr>
                <w:ilvl w:val="0"/>
                <w:numId w:val="1"/>
              </w:numPr>
              <w:jc w:val="both"/>
            </w:pPr>
            <w:r w:rsidRPr="00BC7978">
              <w:t>temporary authorization for care</w:t>
            </w:r>
            <w:r w:rsidR="004C1DD8">
              <w:t xml:space="preserve"> of a minor child</w:t>
            </w:r>
            <w:r>
              <w:t>;</w:t>
            </w:r>
          </w:p>
          <w:p w14:paraId="2541534F" w14:textId="416DFC88" w:rsidR="005A68AF" w:rsidRDefault="00560801" w:rsidP="00BF0A6E">
            <w:pPr>
              <w:pStyle w:val="Header"/>
              <w:numPr>
                <w:ilvl w:val="0"/>
                <w:numId w:val="1"/>
              </w:numPr>
              <w:jc w:val="both"/>
            </w:pPr>
            <w:r w:rsidRPr="00BC7978">
              <w:t xml:space="preserve">temporary authorization </w:t>
            </w:r>
            <w:r w:rsidR="008E2CB4" w:rsidRPr="00BC7978">
              <w:t>for inpatient mental health services</w:t>
            </w:r>
            <w:r>
              <w:t xml:space="preserve"> for a minor child;</w:t>
            </w:r>
          </w:p>
          <w:p w14:paraId="02BF7259" w14:textId="58566E00" w:rsidR="005A68AF" w:rsidRDefault="00560801" w:rsidP="00BF0A6E">
            <w:pPr>
              <w:pStyle w:val="Header"/>
              <w:numPr>
                <w:ilvl w:val="0"/>
                <w:numId w:val="1"/>
              </w:numPr>
              <w:jc w:val="both"/>
            </w:pPr>
            <w:r w:rsidRPr="00D14F22">
              <w:t>protective order</w:t>
            </w:r>
            <w:r w:rsidR="002D2E0C">
              <w:t>s</w:t>
            </w:r>
            <w:r w:rsidRPr="00D14F22">
              <w:t xml:space="preserve"> for victims of sexual assault or abuse, indecent assault, stalking, or trafficking</w:t>
            </w:r>
            <w:r>
              <w:t>; or</w:t>
            </w:r>
          </w:p>
          <w:p w14:paraId="6FBDFE2E" w14:textId="261A287F" w:rsidR="009C36CD" w:rsidRDefault="00560801" w:rsidP="00BF0A6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14F22">
              <w:t xml:space="preserve">access to </w:t>
            </w:r>
            <w:r w:rsidR="00482249">
              <w:t xml:space="preserve">a </w:t>
            </w:r>
            <w:r w:rsidRPr="00D14F22">
              <w:t>residence or former residence to retrieve personal property</w:t>
            </w:r>
            <w:r w:rsidR="005A68AF">
              <w:t>.</w:t>
            </w:r>
          </w:p>
          <w:p w14:paraId="41FF37CB" w14:textId="337DB1F7" w:rsidR="007B5B42" w:rsidRDefault="00560801" w:rsidP="00BF0A6E">
            <w:pPr>
              <w:pStyle w:val="Header"/>
              <w:jc w:val="both"/>
            </w:pPr>
            <w:r>
              <w:t xml:space="preserve">The bill's provisions apply only </w:t>
            </w:r>
            <w:r w:rsidRPr="007B5B42">
              <w:t>to a suit or applicati</w:t>
            </w:r>
            <w:r w:rsidRPr="007B5B42">
              <w:t xml:space="preserve">on that is filed on or after the </w:t>
            </w:r>
            <w:r>
              <w:t xml:space="preserve">bill's </w:t>
            </w:r>
            <w:r w:rsidRPr="007B5B42">
              <w:t>effective date</w:t>
            </w:r>
            <w:r>
              <w:t xml:space="preserve">. </w:t>
            </w:r>
          </w:p>
          <w:p w14:paraId="66CD25D1" w14:textId="77777777" w:rsidR="008423E4" w:rsidRPr="00835628" w:rsidRDefault="008423E4" w:rsidP="00BF0A6E">
            <w:pPr>
              <w:rPr>
                <w:b/>
              </w:rPr>
            </w:pPr>
          </w:p>
        </w:tc>
      </w:tr>
      <w:tr w:rsidR="00F56C43" w14:paraId="432F9180" w14:textId="77777777">
        <w:tc>
          <w:tcPr>
            <w:tcW w:w="9576" w:type="dxa"/>
          </w:tcPr>
          <w:p w14:paraId="517EBFE8" w14:textId="77777777" w:rsidR="008423E4" w:rsidRPr="00A8133F" w:rsidRDefault="00560801" w:rsidP="00BF0A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94FE47" w14:textId="77777777" w:rsidR="008423E4" w:rsidRDefault="008423E4" w:rsidP="00BF0A6E"/>
          <w:p w14:paraId="1CEB98DA" w14:textId="71F718CD" w:rsidR="008423E4" w:rsidRPr="003624F2" w:rsidRDefault="00560801" w:rsidP="00BF0A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553995F" w14:textId="77777777" w:rsidR="008423E4" w:rsidRPr="00233FDB" w:rsidRDefault="008423E4" w:rsidP="00BF0A6E">
            <w:pPr>
              <w:rPr>
                <w:b/>
              </w:rPr>
            </w:pPr>
          </w:p>
        </w:tc>
      </w:tr>
    </w:tbl>
    <w:p w14:paraId="4504D442" w14:textId="77777777" w:rsidR="004108C3" w:rsidRPr="008423E4" w:rsidRDefault="004108C3" w:rsidP="00BF0A6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00C7" w14:textId="77777777" w:rsidR="00000000" w:rsidRDefault="00560801">
      <w:r>
        <w:separator/>
      </w:r>
    </w:p>
  </w:endnote>
  <w:endnote w:type="continuationSeparator" w:id="0">
    <w:p w14:paraId="0AB61FDF" w14:textId="77777777" w:rsidR="00000000" w:rsidRDefault="0056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ED9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56C43" w14:paraId="408A5900" w14:textId="77777777" w:rsidTr="009C1E9A">
      <w:trPr>
        <w:cantSplit/>
      </w:trPr>
      <w:tc>
        <w:tcPr>
          <w:tcW w:w="0" w:type="pct"/>
        </w:tcPr>
        <w:p w14:paraId="5E8156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E069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4CABD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697C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7D063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6C43" w14:paraId="4A0DCB1C" w14:textId="77777777" w:rsidTr="009C1E9A">
      <w:trPr>
        <w:cantSplit/>
      </w:trPr>
      <w:tc>
        <w:tcPr>
          <w:tcW w:w="0" w:type="pct"/>
        </w:tcPr>
        <w:p w14:paraId="16851C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94201D" w14:textId="0C203AA7" w:rsidR="00EC379B" w:rsidRPr="009C1E9A" w:rsidRDefault="0056080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21893-D</w:t>
          </w:r>
        </w:p>
      </w:tc>
      <w:tc>
        <w:tcPr>
          <w:tcW w:w="2453" w:type="pct"/>
        </w:tcPr>
        <w:p w14:paraId="4CA0A604" w14:textId="286890E8" w:rsidR="00EC379B" w:rsidRDefault="0056080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77E56">
            <w:t>23.93.42</w:t>
          </w:r>
          <w:r>
            <w:fldChar w:fldCharType="end"/>
          </w:r>
        </w:p>
      </w:tc>
    </w:tr>
    <w:tr w:rsidR="00F56C43" w14:paraId="7E59382E" w14:textId="77777777" w:rsidTr="009C1E9A">
      <w:trPr>
        <w:cantSplit/>
      </w:trPr>
      <w:tc>
        <w:tcPr>
          <w:tcW w:w="0" w:type="pct"/>
        </w:tcPr>
        <w:p w14:paraId="0E35BAF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E52DF7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C52A4A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827F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6C43" w14:paraId="5B65341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FCD2CCE" w14:textId="77777777" w:rsidR="00EC379B" w:rsidRDefault="0056080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D3CAA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8CE09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282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0FE9" w14:textId="77777777" w:rsidR="00000000" w:rsidRDefault="00560801">
      <w:r>
        <w:separator/>
      </w:r>
    </w:p>
  </w:footnote>
  <w:footnote w:type="continuationSeparator" w:id="0">
    <w:p w14:paraId="549BDFFD" w14:textId="77777777" w:rsidR="00000000" w:rsidRDefault="0056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4DE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A1E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00C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69EF"/>
    <w:multiLevelType w:val="hybridMultilevel"/>
    <w:tmpl w:val="720A4312"/>
    <w:lvl w:ilvl="0" w:tplc="D80AB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E8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A9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A6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21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24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66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89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6A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3DB"/>
    <w:multiLevelType w:val="hybridMultilevel"/>
    <w:tmpl w:val="D02E2670"/>
    <w:lvl w:ilvl="0" w:tplc="F2ECE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8BC84" w:tentative="1">
      <w:start w:val="1"/>
      <w:numFmt w:val="lowerLetter"/>
      <w:lvlText w:val="%2."/>
      <w:lvlJc w:val="left"/>
      <w:pPr>
        <w:ind w:left="1440" w:hanging="360"/>
      </w:pPr>
    </w:lvl>
    <w:lvl w:ilvl="2" w:tplc="97725A50" w:tentative="1">
      <w:start w:val="1"/>
      <w:numFmt w:val="lowerRoman"/>
      <w:lvlText w:val="%3."/>
      <w:lvlJc w:val="right"/>
      <w:pPr>
        <w:ind w:left="2160" w:hanging="180"/>
      </w:pPr>
    </w:lvl>
    <w:lvl w:ilvl="3" w:tplc="01044A44" w:tentative="1">
      <w:start w:val="1"/>
      <w:numFmt w:val="decimal"/>
      <w:lvlText w:val="%4."/>
      <w:lvlJc w:val="left"/>
      <w:pPr>
        <w:ind w:left="2880" w:hanging="360"/>
      </w:pPr>
    </w:lvl>
    <w:lvl w:ilvl="4" w:tplc="A0BA8FCA" w:tentative="1">
      <w:start w:val="1"/>
      <w:numFmt w:val="lowerLetter"/>
      <w:lvlText w:val="%5."/>
      <w:lvlJc w:val="left"/>
      <w:pPr>
        <w:ind w:left="3600" w:hanging="360"/>
      </w:pPr>
    </w:lvl>
    <w:lvl w:ilvl="5" w:tplc="DA349E1A" w:tentative="1">
      <w:start w:val="1"/>
      <w:numFmt w:val="lowerRoman"/>
      <w:lvlText w:val="%6."/>
      <w:lvlJc w:val="right"/>
      <w:pPr>
        <w:ind w:left="4320" w:hanging="180"/>
      </w:pPr>
    </w:lvl>
    <w:lvl w:ilvl="6" w:tplc="F8D46270" w:tentative="1">
      <w:start w:val="1"/>
      <w:numFmt w:val="decimal"/>
      <w:lvlText w:val="%7."/>
      <w:lvlJc w:val="left"/>
      <w:pPr>
        <w:ind w:left="5040" w:hanging="360"/>
      </w:pPr>
    </w:lvl>
    <w:lvl w:ilvl="7" w:tplc="FEF6EBF4" w:tentative="1">
      <w:start w:val="1"/>
      <w:numFmt w:val="lowerLetter"/>
      <w:lvlText w:val="%8."/>
      <w:lvlJc w:val="left"/>
      <w:pPr>
        <w:ind w:left="5760" w:hanging="360"/>
      </w:pPr>
    </w:lvl>
    <w:lvl w:ilvl="8" w:tplc="85B28D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A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176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6E8C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BB9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201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DDF"/>
    <w:rsid w:val="002734D6"/>
    <w:rsid w:val="00274C45"/>
    <w:rsid w:val="00275109"/>
    <w:rsid w:val="00275BEE"/>
    <w:rsid w:val="00277434"/>
    <w:rsid w:val="00277676"/>
    <w:rsid w:val="00280123"/>
    <w:rsid w:val="00281343"/>
    <w:rsid w:val="00281883"/>
    <w:rsid w:val="002874E3"/>
    <w:rsid w:val="00287656"/>
    <w:rsid w:val="002905B5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E0C"/>
    <w:rsid w:val="002D305A"/>
    <w:rsid w:val="002E21B8"/>
    <w:rsid w:val="002E76A2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6F8B"/>
    <w:rsid w:val="00337392"/>
    <w:rsid w:val="00337659"/>
    <w:rsid w:val="00340B6E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B74"/>
    <w:rsid w:val="00370155"/>
    <w:rsid w:val="003712D5"/>
    <w:rsid w:val="003747DF"/>
    <w:rsid w:val="00377E3D"/>
    <w:rsid w:val="00380D5A"/>
    <w:rsid w:val="00383294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2D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C83"/>
    <w:rsid w:val="004324E9"/>
    <w:rsid w:val="00432A54"/>
    <w:rsid w:val="004350F3"/>
    <w:rsid w:val="00436980"/>
    <w:rsid w:val="00441016"/>
    <w:rsid w:val="00441F2F"/>
    <w:rsid w:val="0044228B"/>
    <w:rsid w:val="00447018"/>
    <w:rsid w:val="00447054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249"/>
    <w:rsid w:val="004824A7"/>
    <w:rsid w:val="00483AF0"/>
    <w:rsid w:val="00484167"/>
    <w:rsid w:val="00484418"/>
    <w:rsid w:val="00492211"/>
    <w:rsid w:val="00492325"/>
    <w:rsid w:val="00492A6D"/>
    <w:rsid w:val="00494303"/>
    <w:rsid w:val="0049435F"/>
    <w:rsid w:val="0049682B"/>
    <w:rsid w:val="004977A3"/>
    <w:rsid w:val="004A03F7"/>
    <w:rsid w:val="004A049A"/>
    <w:rsid w:val="004A081C"/>
    <w:rsid w:val="004A123F"/>
    <w:rsid w:val="004A2172"/>
    <w:rsid w:val="004A239F"/>
    <w:rsid w:val="004B138F"/>
    <w:rsid w:val="004B412A"/>
    <w:rsid w:val="004B47AA"/>
    <w:rsid w:val="004B576C"/>
    <w:rsid w:val="004B772A"/>
    <w:rsid w:val="004C1DD8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E94"/>
    <w:rsid w:val="005269CE"/>
    <w:rsid w:val="005304B2"/>
    <w:rsid w:val="005336BD"/>
    <w:rsid w:val="00534A49"/>
    <w:rsid w:val="005363BB"/>
    <w:rsid w:val="00541B98"/>
    <w:rsid w:val="00542E58"/>
    <w:rsid w:val="00543374"/>
    <w:rsid w:val="00545548"/>
    <w:rsid w:val="00546923"/>
    <w:rsid w:val="00551CA6"/>
    <w:rsid w:val="00555034"/>
    <w:rsid w:val="005570D2"/>
    <w:rsid w:val="00560801"/>
    <w:rsid w:val="00561528"/>
    <w:rsid w:val="0056153F"/>
    <w:rsid w:val="00561B14"/>
    <w:rsid w:val="00562C87"/>
    <w:rsid w:val="005636BD"/>
    <w:rsid w:val="005666D5"/>
    <w:rsid w:val="005669A7"/>
    <w:rsid w:val="00572CF6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8AF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3F1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098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182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BF6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38B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F43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246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B42"/>
    <w:rsid w:val="007B7B85"/>
    <w:rsid w:val="007C462E"/>
    <w:rsid w:val="007C496B"/>
    <w:rsid w:val="007C6803"/>
    <w:rsid w:val="007C77C0"/>
    <w:rsid w:val="007D2892"/>
    <w:rsid w:val="007D2DCC"/>
    <w:rsid w:val="007D47E1"/>
    <w:rsid w:val="007D7FCB"/>
    <w:rsid w:val="007E09A9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A6B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41D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D45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8A2"/>
    <w:rsid w:val="008D27A5"/>
    <w:rsid w:val="008D2AAB"/>
    <w:rsid w:val="008D309C"/>
    <w:rsid w:val="008D58F9"/>
    <w:rsid w:val="008D7427"/>
    <w:rsid w:val="008E2CB4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1A57"/>
    <w:rsid w:val="00946044"/>
    <w:rsid w:val="0094653B"/>
    <w:rsid w:val="009465AB"/>
    <w:rsid w:val="00946DEE"/>
    <w:rsid w:val="00953499"/>
    <w:rsid w:val="00954A16"/>
    <w:rsid w:val="0095696D"/>
    <w:rsid w:val="00957DDA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642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8E7"/>
    <w:rsid w:val="00A70E35"/>
    <w:rsid w:val="00A71236"/>
    <w:rsid w:val="00A720DC"/>
    <w:rsid w:val="00A77E56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A0E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143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747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978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A6E"/>
    <w:rsid w:val="00BF4949"/>
    <w:rsid w:val="00BF4D7C"/>
    <w:rsid w:val="00BF5085"/>
    <w:rsid w:val="00C013F4"/>
    <w:rsid w:val="00C040AB"/>
    <w:rsid w:val="00C0499B"/>
    <w:rsid w:val="00C05406"/>
    <w:rsid w:val="00C05CF0"/>
    <w:rsid w:val="00C06F34"/>
    <w:rsid w:val="00C10A4C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29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1F3"/>
    <w:rsid w:val="00CF189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F22"/>
    <w:rsid w:val="00D22160"/>
    <w:rsid w:val="00D22172"/>
    <w:rsid w:val="00D2301B"/>
    <w:rsid w:val="00D239EE"/>
    <w:rsid w:val="00D30534"/>
    <w:rsid w:val="00D30D95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360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EB6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EEF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F6F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D10"/>
    <w:rsid w:val="00EA7A88"/>
    <w:rsid w:val="00EB2156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33D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62A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C43"/>
    <w:rsid w:val="00F60E09"/>
    <w:rsid w:val="00F6514B"/>
    <w:rsid w:val="00F6533E"/>
    <w:rsid w:val="00F6587F"/>
    <w:rsid w:val="00F66C92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CC8"/>
    <w:rsid w:val="00FA32FC"/>
    <w:rsid w:val="00FA59FD"/>
    <w:rsid w:val="00FA5D8C"/>
    <w:rsid w:val="00FA6403"/>
    <w:rsid w:val="00FA7139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579EF-BEB1-4F77-B837-FE726144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5B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B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B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B42"/>
    <w:rPr>
      <w:b/>
      <w:bCs/>
    </w:rPr>
  </w:style>
  <w:style w:type="paragraph" w:styleId="Revision">
    <w:name w:val="Revision"/>
    <w:hidden/>
    <w:uiPriority w:val="99"/>
    <w:semiHidden/>
    <w:rsid w:val="00383294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A2CC8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FA2C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2171</Characters>
  <Application>Microsoft Office Word</Application>
  <DocSecurity>4</DocSecurity>
  <Lines>55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HB02268 (Committee Report (Unamended))</vt:lpstr>
    </vt:vector>
  </TitlesOfParts>
  <Company>State of Texas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21893</dc:subject>
  <dc:creator>State of Texas</dc:creator>
  <cp:lastModifiedBy>Matthew Lee</cp:lastModifiedBy>
  <cp:revision>2</cp:revision>
  <cp:lastPrinted>2003-11-26T17:21:00Z</cp:lastPrinted>
  <dcterms:created xsi:type="dcterms:W3CDTF">2023-04-06T22:32:00Z</dcterms:created>
  <dcterms:modified xsi:type="dcterms:W3CDTF">2023-04-06T22:32:00Z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23.93.42</vt:lpwstr>
  </property>
</Properties>
</file>