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A34E7" w14:paraId="01E9C43F" w14:textId="77777777" w:rsidTr="00345119">
        <w:tc>
          <w:tcPr>
            <w:tcW w:w="9576" w:type="dxa"/>
            <w:noWrap/>
          </w:tcPr>
          <w:p w14:paraId="0CDFD48C" w14:textId="77777777" w:rsidR="008423E4" w:rsidRPr="0022177D" w:rsidRDefault="000A5004" w:rsidP="00524231">
            <w:pPr>
              <w:pStyle w:val="Heading1"/>
            </w:pPr>
            <w:r w:rsidRPr="00631897">
              <w:t>BILL ANALYSIS</w:t>
            </w:r>
          </w:p>
        </w:tc>
      </w:tr>
    </w:tbl>
    <w:p w14:paraId="001A6002" w14:textId="77777777" w:rsidR="008423E4" w:rsidRPr="0022177D" w:rsidRDefault="008423E4" w:rsidP="00524231">
      <w:pPr>
        <w:jc w:val="center"/>
      </w:pPr>
    </w:p>
    <w:p w14:paraId="0EE1EC45" w14:textId="77777777" w:rsidR="008423E4" w:rsidRPr="00B31F0E" w:rsidRDefault="008423E4" w:rsidP="00524231"/>
    <w:p w14:paraId="0C31DEBE" w14:textId="77777777" w:rsidR="008423E4" w:rsidRPr="00742794" w:rsidRDefault="008423E4" w:rsidP="0052423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A34E7" w14:paraId="1BDB27FA" w14:textId="77777777" w:rsidTr="00345119">
        <w:tc>
          <w:tcPr>
            <w:tcW w:w="9576" w:type="dxa"/>
          </w:tcPr>
          <w:p w14:paraId="703AD3C5" w14:textId="4A69E4DB" w:rsidR="008423E4" w:rsidRPr="00861995" w:rsidRDefault="000A5004" w:rsidP="00524231">
            <w:pPr>
              <w:jc w:val="right"/>
            </w:pPr>
            <w:r>
              <w:t>H.B. 2300</w:t>
            </w:r>
          </w:p>
        </w:tc>
      </w:tr>
      <w:tr w:rsidR="001A34E7" w14:paraId="335B8B6B" w14:textId="77777777" w:rsidTr="00345119">
        <w:tc>
          <w:tcPr>
            <w:tcW w:w="9576" w:type="dxa"/>
          </w:tcPr>
          <w:p w14:paraId="41995B97" w14:textId="1ED3E6A7" w:rsidR="008423E4" w:rsidRPr="00861995" w:rsidRDefault="000A5004" w:rsidP="00524231">
            <w:pPr>
              <w:jc w:val="right"/>
            </w:pPr>
            <w:r>
              <w:t xml:space="preserve">By: </w:t>
            </w:r>
            <w:r w:rsidR="009D59CA">
              <w:t>Allen</w:t>
            </w:r>
          </w:p>
        </w:tc>
      </w:tr>
      <w:tr w:rsidR="001A34E7" w14:paraId="5B7D971E" w14:textId="77777777" w:rsidTr="00345119">
        <w:tc>
          <w:tcPr>
            <w:tcW w:w="9576" w:type="dxa"/>
          </w:tcPr>
          <w:p w14:paraId="5A00605C" w14:textId="1A19B1C5" w:rsidR="008423E4" w:rsidRPr="00861995" w:rsidRDefault="000A5004" w:rsidP="00524231">
            <w:pPr>
              <w:jc w:val="right"/>
            </w:pPr>
            <w:r>
              <w:t>Corrections</w:t>
            </w:r>
          </w:p>
        </w:tc>
      </w:tr>
      <w:tr w:rsidR="001A34E7" w14:paraId="3A29B081" w14:textId="77777777" w:rsidTr="00345119">
        <w:tc>
          <w:tcPr>
            <w:tcW w:w="9576" w:type="dxa"/>
          </w:tcPr>
          <w:p w14:paraId="7C1B30BD" w14:textId="06E56A57" w:rsidR="008423E4" w:rsidRDefault="000A5004" w:rsidP="00524231">
            <w:pPr>
              <w:jc w:val="right"/>
            </w:pPr>
            <w:r>
              <w:t>Committee Report (Unamended)</w:t>
            </w:r>
          </w:p>
        </w:tc>
      </w:tr>
    </w:tbl>
    <w:p w14:paraId="6C6529CA" w14:textId="77777777" w:rsidR="008423E4" w:rsidRDefault="008423E4" w:rsidP="00524231">
      <w:pPr>
        <w:tabs>
          <w:tab w:val="right" w:pos="9360"/>
        </w:tabs>
      </w:pPr>
    </w:p>
    <w:p w14:paraId="00011DED" w14:textId="77777777" w:rsidR="008423E4" w:rsidRDefault="008423E4" w:rsidP="00524231"/>
    <w:p w14:paraId="45E5C42B" w14:textId="77777777" w:rsidR="008423E4" w:rsidRDefault="008423E4" w:rsidP="0052423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A34E7" w14:paraId="78B7B21D" w14:textId="77777777" w:rsidTr="00345119">
        <w:tc>
          <w:tcPr>
            <w:tcW w:w="9576" w:type="dxa"/>
          </w:tcPr>
          <w:p w14:paraId="1AA392DF" w14:textId="77777777" w:rsidR="008423E4" w:rsidRPr="00A8133F" w:rsidRDefault="000A5004" w:rsidP="0052423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0462FE9" w14:textId="77777777" w:rsidR="008423E4" w:rsidRDefault="008423E4" w:rsidP="00524231"/>
          <w:p w14:paraId="6FA8A847" w14:textId="229FCF38" w:rsidR="008423E4" w:rsidRDefault="000A5004" w:rsidP="005242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D59CA">
              <w:t>Currently,</w:t>
            </w:r>
            <w:r w:rsidR="00157E6A">
              <w:t xml:space="preserve"> only</w:t>
            </w:r>
            <w:r w:rsidRPr="009D59CA">
              <w:t xml:space="preserve"> </w:t>
            </w:r>
            <w:r w:rsidR="000B6356">
              <w:t xml:space="preserve">certain people </w:t>
            </w:r>
            <w:r w:rsidRPr="009D59CA">
              <w:t xml:space="preserve">are </w:t>
            </w:r>
            <w:r w:rsidR="000B6356">
              <w:t xml:space="preserve">entitled to petition a court for </w:t>
            </w:r>
            <w:r w:rsidRPr="009D59CA">
              <w:t>an order of nondisclosure</w:t>
            </w:r>
            <w:r w:rsidR="00602B4B">
              <w:t xml:space="preserve"> of criminal history record information</w:t>
            </w:r>
            <w:r w:rsidRPr="009D59CA">
              <w:t>. Orders of nondisclosure are critical to allow formerly incarcerated people access to stable housing and employment</w:t>
            </w:r>
            <w:r w:rsidR="00157E6A">
              <w:t>,</w:t>
            </w:r>
            <w:r w:rsidR="00413150">
              <w:t xml:space="preserve"> and this opportunity should be afforded to more people who otherwise meet the eligibility requirements</w:t>
            </w:r>
            <w:r w:rsidRPr="009D59CA">
              <w:t>. H</w:t>
            </w:r>
            <w:r w:rsidR="00413150">
              <w:t>.</w:t>
            </w:r>
            <w:r w:rsidRPr="009D59CA">
              <w:t>B</w:t>
            </w:r>
            <w:r w:rsidR="00413150">
              <w:t>.</w:t>
            </w:r>
            <w:r w:rsidRPr="009D59CA">
              <w:t xml:space="preserve"> 2300 </w:t>
            </w:r>
            <w:r w:rsidR="00413150">
              <w:t xml:space="preserve">seeks to address this issue by </w:t>
            </w:r>
            <w:r w:rsidRPr="009D59CA">
              <w:t>expand</w:t>
            </w:r>
            <w:r w:rsidR="00413150">
              <w:t>ing</w:t>
            </w:r>
            <w:r w:rsidRPr="009D59CA">
              <w:t xml:space="preserve"> eligibility for people to petition </w:t>
            </w:r>
            <w:r w:rsidR="00413150">
              <w:t xml:space="preserve">a </w:t>
            </w:r>
            <w:r w:rsidRPr="009D59CA">
              <w:t xml:space="preserve">court for an order of nondisclosure after a certain period based on their offense.   </w:t>
            </w:r>
          </w:p>
          <w:p w14:paraId="344C9332" w14:textId="77777777" w:rsidR="008423E4" w:rsidRPr="00E26B13" w:rsidRDefault="008423E4" w:rsidP="00524231">
            <w:pPr>
              <w:rPr>
                <w:b/>
              </w:rPr>
            </w:pPr>
          </w:p>
        </w:tc>
      </w:tr>
      <w:tr w:rsidR="001A34E7" w14:paraId="054E316F" w14:textId="77777777" w:rsidTr="00345119">
        <w:tc>
          <w:tcPr>
            <w:tcW w:w="9576" w:type="dxa"/>
          </w:tcPr>
          <w:p w14:paraId="3A38F148" w14:textId="77777777" w:rsidR="0017725B" w:rsidRDefault="000A5004" w:rsidP="005242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8D1C9E" w14:textId="77777777" w:rsidR="0017725B" w:rsidRDefault="0017725B" w:rsidP="00524231">
            <w:pPr>
              <w:rPr>
                <w:b/>
                <w:u w:val="single"/>
              </w:rPr>
            </w:pPr>
          </w:p>
          <w:p w14:paraId="63CC6FCF" w14:textId="77777777" w:rsidR="0017725B" w:rsidRDefault="000A5004" w:rsidP="00524231">
            <w:pPr>
              <w:jc w:val="both"/>
            </w:pPr>
            <w:r>
              <w:t xml:space="preserve">It is the committee's opinion that this bill does </w:t>
            </w:r>
            <w:r>
              <w:t>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D4CC5D3" w14:textId="701EAC7F" w:rsidR="00524231" w:rsidRPr="0017725B" w:rsidRDefault="00524231" w:rsidP="00524231">
            <w:pPr>
              <w:jc w:val="both"/>
              <w:rPr>
                <w:b/>
                <w:u w:val="single"/>
              </w:rPr>
            </w:pPr>
          </w:p>
        </w:tc>
      </w:tr>
      <w:tr w:rsidR="001A34E7" w14:paraId="40E2229D" w14:textId="77777777" w:rsidTr="00345119">
        <w:tc>
          <w:tcPr>
            <w:tcW w:w="9576" w:type="dxa"/>
          </w:tcPr>
          <w:p w14:paraId="23CB1F0E" w14:textId="77777777" w:rsidR="008423E4" w:rsidRPr="00A8133F" w:rsidRDefault="000A5004" w:rsidP="0052423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732A9C" w14:textId="77777777" w:rsidR="008423E4" w:rsidRDefault="008423E4" w:rsidP="00524231"/>
          <w:p w14:paraId="17AB3A04" w14:textId="77777777" w:rsidR="008423E4" w:rsidRDefault="000A5004" w:rsidP="005242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</w:t>
            </w:r>
            <w:r>
              <w:t>the committee's opinion that this bill does not expressly grant any additional rulemaking authority to a state officer, department, agency, or institution.</w:t>
            </w:r>
          </w:p>
          <w:p w14:paraId="62646777" w14:textId="34EA32CA" w:rsidR="00524231" w:rsidRPr="00E21FDC" w:rsidRDefault="00524231" w:rsidP="0052423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A34E7" w14:paraId="01991B02" w14:textId="77777777" w:rsidTr="00345119">
        <w:tc>
          <w:tcPr>
            <w:tcW w:w="9576" w:type="dxa"/>
          </w:tcPr>
          <w:p w14:paraId="3E56A778" w14:textId="650C8EF8" w:rsidR="008423E4" w:rsidRPr="00A8133F" w:rsidRDefault="000A5004" w:rsidP="0052423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 w:rsidR="008357EB">
              <w:rPr>
                <w:b/>
              </w:rPr>
              <w:t xml:space="preserve"> </w:t>
            </w:r>
          </w:p>
          <w:p w14:paraId="1D63768B" w14:textId="77777777" w:rsidR="008423E4" w:rsidRDefault="008423E4" w:rsidP="00524231"/>
          <w:p w14:paraId="74D0FDE2" w14:textId="67E5B4DF" w:rsidR="00F229D2" w:rsidRDefault="000A5004" w:rsidP="00524231">
            <w:pPr>
              <w:jc w:val="both"/>
            </w:pPr>
            <w:r>
              <w:t>H.B. 2300 amends the Government Code to</w:t>
            </w:r>
            <w:r w:rsidR="007967A3">
              <w:t xml:space="preserve"> authorize a person</w:t>
            </w:r>
            <w:r w:rsidR="001C3CF4">
              <w:t xml:space="preserve"> who is placed on deferred adjudication community supervision for any misdemeanor offense</w:t>
            </w:r>
            <w:r w:rsidR="007967A3">
              <w:t xml:space="preserve"> to petition the court for an order of nondisclosure of criminal history record information on or after the </w:t>
            </w:r>
            <w:r w:rsidR="001C3CF4">
              <w:t xml:space="preserve">date of the </w:t>
            </w:r>
            <w:r w:rsidR="007967A3">
              <w:t>discharge and dismissal.</w:t>
            </w:r>
            <w:r w:rsidR="001C3CF4">
              <w:t xml:space="preserve"> The bill</w:t>
            </w:r>
            <w:r>
              <w:t xml:space="preserve"> revise</w:t>
            </w:r>
            <w:r w:rsidR="001C3CF4">
              <w:t>s</w:t>
            </w:r>
            <w:r>
              <w:t xml:space="preserve"> </w:t>
            </w:r>
            <w:r w:rsidR="00485661">
              <w:t xml:space="preserve">the date on or after which a </w:t>
            </w:r>
            <w:r w:rsidR="00DC72AE">
              <w:t xml:space="preserve">person </w:t>
            </w:r>
            <w:r w:rsidR="003C5BCD">
              <w:t>who is placed on deferred adjudication community supervision</w:t>
            </w:r>
            <w:r w:rsidR="00485661">
              <w:t xml:space="preserve"> for certain </w:t>
            </w:r>
            <w:r w:rsidR="001C3CF4">
              <w:t xml:space="preserve">felony </w:t>
            </w:r>
            <w:r w:rsidR="00485661">
              <w:t>offenses</w:t>
            </w:r>
            <w:r>
              <w:t xml:space="preserve"> </w:t>
            </w:r>
            <w:r w:rsidR="00485661">
              <w:t xml:space="preserve">may petition the court </w:t>
            </w:r>
            <w:r>
              <w:t>for an order of nondisclosure of criminal history record information</w:t>
            </w:r>
            <w:r w:rsidR="003C5BCD">
              <w:t xml:space="preserve"> as follows:</w:t>
            </w:r>
          </w:p>
          <w:p w14:paraId="594AB3A6" w14:textId="308640B6" w:rsidR="00A95E94" w:rsidRDefault="000A5004" w:rsidP="0052423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by changing </w:t>
            </w:r>
            <w:r w:rsidR="009B341C">
              <w:t xml:space="preserve">the date from the </w:t>
            </w:r>
            <w:r w:rsidR="000D1E6C">
              <w:t xml:space="preserve">second </w:t>
            </w:r>
            <w:r w:rsidR="009B341C">
              <w:t xml:space="preserve">anniversary of the discharge and dismissal to the first anniversary of the discharge and dismissal for </w:t>
            </w:r>
            <w:r w:rsidR="00485661">
              <w:t xml:space="preserve">a </w:t>
            </w:r>
            <w:r w:rsidR="00DC72AE">
              <w:t xml:space="preserve">person </w:t>
            </w:r>
            <w:r w:rsidR="00485661">
              <w:t xml:space="preserve">who </w:t>
            </w:r>
            <w:r w:rsidR="00B7422B">
              <w:t>is</w:t>
            </w:r>
            <w:r w:rsidR="00485661">
              <w:t xml:space="preserve"> placed on deferred adjudication for a state </w:t>
            </w:r>
            <w:r w:rsidR="009B341C">
              <w:t>j</w:t>
            </w:r>
            <w:r w:rsidR="00485661">
              <w:t>ail felony</w:t>
            </w:r>
            <w:r w:rsidR="009B341C">
              <w:t xml:space="preserve"> offense; and </w:t>
            </w:r>
            <w:r w:rsidR="00485661">
              <w:t xml:space="preserve"> </w:t>
            </w:r>
          </w:p>
          <w:p w14:paraId="1EC82C52" w14:textId="73D5E073" w:rsidR="00A95E94" w:rsidRDefault="000A5004" w:rsidP="0052423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by changing </w:t>
            </w:r>
            <w:r w:rsidR="009B341C">
              <w:t xml:space="preserve">the date </w:t>
            </w:r>
            <w:r>
              <w:t xml:space="preserve">from </w:t>
            </w:r>
            <w:r w:rsidR="009B341C">
              <w:t xml:space="preserve">the fifth anniversary of the discharge and dismissal to the second anniversary of the discharge and dismissal for a </w:t>
            </w:r>
            <w:r w:rsidR="00DC72AE">
              <w:t xml:space="preserve">person </w:t>
            </w:r>
            <w:r w:rsidR="009B341C">
              <w:t xml:space="preserve">who </w:t>
            </w:r>
            <w:r w:rsidR="00B7422B">
              <w:t>is</w:t>
            </w:r>
            <w:r w:rsidR="009B341C">
              <w:t xml:space="preserve"> placed on deferred adjudication for any other felony offense.</w:t>
            </w:r>
          </w:p>
          <w:p w14:paraId="73FD6807" w14:textId="7A8DC1F1" w:rsidR="00F229D2" w:rsidRDefault="00F229D2" w:rsidP="00524231"/>
          <w:p w14:paraId="4CA94F00" w14:textId="529E6F65" w:rsidR="00DC72AE" w:rsidRDefault="000A5004" w:rsidP="00524231">
            <w:pPr>
              <w:jc w:val="both"/>
            </w:pPr>
            <w:r>
              <w:t xml:space="preserve">H.B. 2300 expands the eligibility of a person who is placed on community supervision </w:t>
            </w:r>
            <w:r w:rsidR="002504CA">
              <w:t xml:space="preserve">or a person who is convicted and completes their sentence, including payment of all fines, costs, and restitution, </w:t>
            </w:r>
            <w:r>
              <w:t xml:space="preserve">to petition a court for an order of nondisclosure by including a person who is placed on community supervision </w:t>
            </w:r>
            <w:r w:rsidR="002504CA">
              <w:t xml:space="preserve">or a person who is convicted and completes their sentence, including payment of all fines, costs, and restitution, </w:t>
            </w:r>
            <w:r>
              <w:t>for any offense</w:t>
            </w:r>
            <w:r w:rsidR="007C47E5">
              <w:t>, including an organized crime offense,</w:t>
            </w:r>
            <w:r>
              <w:t xml:space="preserve"> </w:t>
            </w:r>
            <w:r w:rsidR="007C47E5">
              <w:t xml:space="preserve">but excluding </w:t>
            </w:r>
            <w:r w:rsidR="000C168F">
              <w:t>certain intoxication and alcoholic beverage</w:t>
            </w:r>
            <w:r>
              <w:t xml:space="preserve"> offenses</w:t>
            </w:r>
            <w:r w:rsidR="000C168F">
              <w:t xml:space="preserve">. </w:t>
            </w:r>
            <w:r w:rsidR="00E11B99">
              <w:t xml:space="preserve">The bill removes as a condition of eligibility </w:t>
            </w:r>
            <w:r w:rsidR="00A15EAB">
              <w:t xml:space="preserve">for the order of nondisclosure </w:t>
            </w:r>
            <w:r w:rsidR="00E11B99">
              <w:t xml:space="preserve">that </w:t>
            </w:r>
            <w:r w:rsidR="00A15EAB">
              <w:t xml:space="preserve">the </w:t>
            </w:r>
            <w:r w:rsidR="00E11B99">
              <w:t xml:space="preserve">person </w:t>
            </w:r>
            <w:r w:rsidR="00524166">
              <w:t>has not</w:t>
            </w:r>
            <w:r w:rsidR="00E11B99">
              <w:t xml:space="preserve"> been previously convicted of or placed on deferred adjudication community supervision for another offense other than a fine-only traffic offense. </w:t>
            </w:r>
            <w:r w:rsidR="007E02A9">
              <w:t>The bill repeals the</w:t>
            </w:r>
            <w:r w:rsidR="004D08D8">
              <w:t xml:space="preserve"> </w:t>
            </w:r>
            <w:r w:rsidR="007E02A9">
              <w:t xml:space="preserve">prohibition against a court's issuance of an order of nondisclosure if the court determines that the offense for which the order is sought was violent or sexual in nature. </w:t>
            </w:r>
          </w:p>
          <w:p w14:paraId="1996CA10" w14:textId="32CC9781" w:rsidR="0069292E" w:rsidRDefault="0069292E" w:rsidP="00524231">
            <w:pPr>
              <w:jc w:val="both"/>
            </w:pPr>
          </w:p>
          <w:p w14:paraId="65E2F9AE" w14:textId="19B9608B" w:rsidR="0069292E" w:rsidRDefault="000A5004" w:rsidP="00524231">
            <w:pPr>
              <w:jc w:val="both"/>
            </w:pPr>
            <w:r>
              <w:t xml:space="preserve">H.B. 2300 </w:t>
            </w:r>
            <w:r w:rsidR="0027318C">
              <w:t xml:space="preserve">authorizes an eligible person who is placed on community supervision for any misdemeanor offense to petition the court for an order of nondisclosure on or after the date </w:t>
            </w:r>
            <w:r w:rsidR="00830834">
              <w:t>of completion of the</w:t>
            </w:r>
            <w:r w:rsidR="0027318C">
              <w:t xml:space="preserve"> community supervision</w:t>
            </w:r>
            <w:r w:rsidR="00173ACD">
              <w:t>.</w:t>
            </w:r>
            <w:r w:rsidR="00B7422B">
              <w:t xml:space="preserve"> The bill sets the following dates on or after which an eligible person who is placed on community supervision for a felony offense may petition the court for an order of nondisclosure:</w:t>
            </w:r>
          </w:p>
          <w:p w14:paraId="2D5ADBC3" w14:textId="27C80FB1" w:rsidR="00B7422B" w:rsidRDefault="000A5004" w:rsidP="0052423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the second anniversary of the date of completion of the community supervision for a state jail felony;</w:t>
            </w:r>
          </w:p>
          <w:p w14:paraId="017087FE" w14:textId="61F90357" w:rsidR="00B7422B" w:rsidRDefault="000A5004" w:rsidP="0052423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the fifth anniversary of the date of completion of the community supe</w:t>
            </w:r>
            <w:r>
              <w:t>rvision</w:t>
            </w:r>
            <w:r w:rsidR="00090451">
              <w:t xml:space="preserve"> </w:t>
            </w:r>
            <w:r>
              <w:t>for</w:t>
            </w:r>
            <w:r w:rsidR="00F07235">
              <w:t xml:space="preserve"> a</w:t>
            </w:r>
            <w:r>
              <w:t xml:space="preserve"> third degree felony;</w:t>
            </w:r>
          </w:p>
          <w:p w14:paraId="7471A355" w14:textId="0A0AD087" w:rsidR="00B7422B" w:rsidRDefault="000A5004" w:rsidP="0052423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the seventh anniversary of the date of completion of the community supervision for</w:t>
            </w:r>
            <w:r w:rsidR="0037006C">
              <w:t xml:space="preserve"> a</w:t>
            </w:r>
            <w:r>
              <w:t xml:space="preserve"> second degree felony; and</w:t>
            </w:r>
          </w:p>
          <w:p w14:paraId="11859591" w14:textId="3690723D" w:rsidR="00B7422B" w:rsidRDefault="000A5004" w:rsidP="0052423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the 10th anniversary of the date of completion of the community supervision for a first degree felony.</w:t>
            </w:r>
          </w:p>
          <w:p w14:paraId="703524E9" w14:textId="77777777" w:rsidR="00B7422B" w:rsidRDefault="00B7422B" w:rsidP="00524231">
            <w:pPr>
              <w:jc w:val="both"/>
            </w:pPr>
          </w:p>
          <w:p w14:paraId="31251EE1" w14:textId="3503069D" w:rsidR="00413150" w:rsidRDefault="000A5004" w:rsidP="00524231">
            <w:pPr>
              <w:jc w:val="both"/>
            </w:pPr>
            <w:r>
              <w:t>H.B. 2</w:t>
            </w:r>
            <w:r>
              <w:t>300 changes the date on or after which an eligible person who is convicted and completes their sentence for</w:t>
            </w:r>
            <w:r w:rsidR="00830834">
              <w:t xml:space="preserve"> any misdemeanor offense</w:t>
            </w:r>
            <w:r>
              <w:t xml:space="preserve"> may petition the court for an order of nondisclosure from the second anniversary of the date of the completion of the person</w:t>
            </w:r>
            <w:r>
              <w:t>'s sentence to the first anniversary of that date. The bill sets the following dates on or after which an eligible person who is convicted and completes a sentence for a felony offense may petition the court for an order of nondisclosure:</w:t>
            </w:r>
          </w:p>
          <w:p w14:paraId="781E666A" w14:textId="713A670B" w:rsidR="00413150" w:rsidRDefault="000A5004" w:rsidP="0052423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the fifth anniver</w:t>
            </w:r>
            <w:r>
              <w:t>sary of the date of completion of a sentence for a state jail felony;</w:t>
            </w:r>
          </w:p>
          <w:p w14:paraId="414BF80E" w14:textId="1133ADC0" w:rsidR="00413150" w:rsidRDefault="000A5004" w:rsidP="0052423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the seventh anniversary of the date of completion of a sentence for </w:t>
            </w:r>
            <w:r w:rsidR="0037006C">
              <w:t xml:space="preserve">a </w:t>
            </w:r>
            <w:r>
              <w:t>third degree felony;</w:t>
            </w:r>
          </w:p>
          <w:p w14:paraId="1A77FB31" w14:textId="2FBC795F" w:rsidR="00413150" w:rsidRDefault="000A5004" w:rsidP="0052423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the 10th anniversary of the date of completion of a sentence for</w:t>
            </w:r>
            <w:r w:rsidR="0037006C">
              <w:t xml:space="preserve"> a</w:t>
            </w:r>
            <w:r>
              <w:t xml:space="preserve"> second degree felony; and</w:t>
            </w:r>
          </w:p>
          <w:p w14:paraId="0BC89099" w14:textId="4B0D850D" w:rsidR="00413150" w:rsidRDefault="000A5004" w:rsidP="0052423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th</w:t>
            </w:r>
            <w:r>
              <w:t>e 12th anniversary of the date of completion of a sentence for a first degree felony.</w:t>
            </w:r>
          </w:p>
          <w:p w14:paraId="33178009" w14:textId="599DB153" w:rsidR="00DC72AE" w:rsidRDefault="00DC72AE" w:rsidP="00524231">
            <w:pPr>
              <w:jc w:val="both"/>
            </w:pPr>
          </w:p>
          <w:p w14:paraId="2D1127D3" w14:textId="77777777" w:rsidR="008423E4" w:rsidRDefault="000A5004" w:rsidP="005242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2300 repeals </w:t>
            </w:r>
            <w:r w:rsidRPr="008357EB">
              <w:t>Section 411.0735(c-1), Government Code</w:t>
            </w:r>
            <w:r>
              <w:t>.</w:t>
            </w:r>
          </w:p>
          <w:p w14:paraId="0048BD76" w14:textId="1EDD5BA2" w:rsidR="00524231" w:rsidRPr="00835628" w:rsidRDefault="00524231" w:rsidP="0052423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A34E7" w14:paraId="3E9EA469" w14:textId="77777777" w:rsidTr="00345119">
        <w:tc>
          <w:tcPr>
            <w:tcW w:w="9576" w:type="dxa"/>
          </w:tcPr>
          <w:p w14:paraId="69ADC59C" w14:textId="77777777" w:rsidR="008423E4" w:rsidRPr="00A8133F" w:rsidRDefault="000A5004" w:rsidP="0052423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82EE7D" w14:textId="77777777" w:rsidR="008423E4" w:rsidRDefault="008423E4" w:rsidP="00524231"/>
          <w:p w14:paraId="1C041764" w14:textId="5697F493" w:rsidR="008423E4" w:rsidRPr="003624F2" w:rsidRDefault="000A5004" w:rsidP="005242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40212F8" w14:textId="77777777" w:rsidR="008423E4" w:rsidRPr="00233FDB" w:rsidRDefault="008423E4" w:rsidP="00524231">
            <w:pPr>
              <w:rPr>
                <w:b/>
              </w:rPr>
            </w:pPr>
          </w:p>
        </w:tc>
      </w:tr>
    </w:tbl>
    <w:p w14:paraId="671634B2" w14:textId="77777777" w:rsidR="008423E4" w:rsidRPr="00BE0E75" w:rsidRDefault="008423E4" w:rsidP="00524231">
      <w:pPr>
        <w:jc w:val="both"/>
        <w:rPr>
          <w:rFonts w:ascii="Arial" w:hAnsi="Arial"/>
          <w:sz w:val="16"/>
          <w:szCs w:val="16"/>
        </w:rPr>
      </w:pPr>
    </w:p>
    <w:p w14:paraId="59F087B9" w14:textId="77777777" w:rsidR="004108C3" w:rsidRPr="008423E4" w:rsidRDefault="004108C3" w:rsidP="0052423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38DC" w14:textId="77777777" w:rsidR="00000000" w:rsidRDefault="000A5004">
      <w:r>
        <w:separator/>
      </w:r>
    </w:p>
  </w:endnote>
  <w:endnote w:type="continuationSeparator" w:id="0">
    <w:p w14:paraId="2F903CB9" w14:textId="77777777" w:rsidR="00000000" w:rsidRDefault="000A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A05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A34E7" w14:paraId="3263F68F" w14:textId="77777777" w:rsidTr="009C1E9A">
      <w:trPr>
        <w:cantSplit/>
      </w:trPr>
      <w:tc>
        <w:tcPr>
          <w:tcW w:w="0" w:type="pct"/>
        </w:tcPr>
        <w:p w14:paraId="451F5A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D514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75AE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B5CA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91A56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34E7" w14:paraId="34803ED0" w14:textId="77777777" w:rsidTr="009C1E9A">
      <w:trPr>
        <w:cantSplit/>
      </w:trPr>
      <w:tc>
        <w:tcPr>
          <w:tcW w:w="0" w:type="pct"/>
        </w:tcPr>
        <w:p w14:paraId="3FF68A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2CB720" w14:textId="5743ECE6" w:rsidR="00EC379B" w:rsidRPr="009C1E9A" w:rsidRDefault="000A500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23826-D</w:t>
          </w:r>
        </w:p>
      </w:tc>
      <w:tc>
        <w:tcPr>
          <w:tcW w:w="2453" w:type="pct"/>
        </w:tcPr>
        <w:p w14:paraId="7E7A4A45" w14:textId="2AAD44B5" w:rsidR="00EC379B" w:rsidRDefault="000A500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24231">
            <w:t>23.105.660</w:t>
          </w:r>
          <w:r>
            <w:fldChar w:fldCharType="end"/>
          </w:r>
        </w:p>
      </w:tc>
    </w:tr>
    <w:tr w:rsidR="001A34E7" w14:paraId="0835D455" w14:textId="77777777" w:rsidTr="009C1E9A">
      <w:trPr>
        <w:cantSplit/>
      </w:trPr>
      <w:tc>
        <w:tcPr>
          <w:tcW w:w="0" w:type="pct"/>
        </w:tcPr>
        <w:p w14:paraId="36F6943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CA1F0D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A0DAD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4F864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34E7" w14:paraId="3CE81AC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1F7E53" w14:textId="77777777" w:rsidR="00EC379B" w:rsidRDefault="000A500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3DE7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58445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A4A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D25A" w14:textId="77777777" w:rsidR="00000000" w:rsidRDefault="000A5004">
      <w:r>
        <w:separator/>
      </w:r>
    </w:p>
  </w:footnote>
  <w:footnote w:type="continuationSeparator" w:id="0">
    <w:p w14:paraId="542241AF" w14:textId="77777777" w:rsidR="00000000" w:rsidRDefault="000A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723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B83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43C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080"/>
    <w:multiLevelType w:val="hybridMultilevel"/>
    <w:tmpl w:val="C25A8384"/>
    <w:lvl w:ilvl="0" w:tplc="CDD4C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EC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82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40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C2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6C6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E5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88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29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D5573"/>
    <w:multiLevelType w:val="hybridMultilevel"/>
    <w:tmpl w:val="A5342AF6"/>
    <w:lvl w:ilvl="0" w:tplc="B94C3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566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CF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48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02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E8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21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8D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40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C277D"/>
    <w:multiLevelType w:val="hybridMultilevel"/>
    <w:tmpl w:val="384C169A"/>
    <w:lvl w:ilvl="0" w:tplc="FCBE9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4E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A0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4D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68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E4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CF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E8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6E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661A"/>
    <w:multiLevelType w:val="hybridMultilevel"/>
    <w:tmpl w:val="882C765C"/>
    <w:lvl w:ilvl="0" w:tplc="46C6A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6D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6F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2E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E8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CB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89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A3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AA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56939"/>
    <w:multiLevelType w:val="hybridMultilevel"/>
    <w:tmpl w:val="F95A8BE6"/>
    <w:lvl w:ilvl="0" w:tplc="2A24F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8E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63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2B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CA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2D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ED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8D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06C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92E62"/>
    <w:multiLevelType w:val="hybridMultilevel"/>
    <w:tmpl w:val="603EA2B6"/>
    <w:lvl w:ilvl="0" w:tplc="0E54F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0AD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3CC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24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48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23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EB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C2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0C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BB"/>
    <w:rsid w:val="00000A70"/>
    <w:rsid w:val="000032B8"/>
    <w:rsid w:val="00003B06"/>
    <w:rsid w:val="000054B9"/>
    <w:rsid w:val="00007461"/>
    <w:rsid w:val="00010DD8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451"/>
    <w:rsid w:val="00090E6B"/>
    <w:rsid w:val="00091B2C"/>
    <w:rsid w:val="00092ABC"/>
    <w:rsid w:val="00097AAF"/>
    <w:rsid w:val="00097D13"/>
    <w:rsid w:val="000A4893"/>
    <w:rsid w:val="000A5004"/>
    <w:rsid w:val="000A54E0"/>
    <w:rsid w:val="000A72C4"/>
    <w:rsid w:val="000B0F30"/>
    <w:rsid w:val="000B1486"/>
    <w:rsid w:val="000B3E61"/>
    <w:rsid w:val="000B54AF"/>
    <w:rsid w:val="000B6090"/>
    <w:rsid w:val="000B6356"/>
    <w:rsid w:val="000B6FEE"/>
    <w:rsid w:val="000C12C4"/>
    <w:rsid w:val="000C168F"/>
    <w:rsid w:val="000C49DA"/>
    <w:rsid w:val="000C4B3D"/>
    <w:rsid w:val="000C6DC1"/>
    <w:rsid w:val="000C6E20"/>
    <w:rsid w:val="000C76D7"/>
    <w:rsid w:val="000C7F1D"/>
    <w:rsid w:val="000D1E6C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4E3"/>
    <w:rsid w:val="000F18A2"/>
    <w:rsid w:val="000F2A7F"/>
    <w:rsid w:val="000F3DBD"/>
    <w:rsid w:val="000F5843"/>
    <w:rsid w:val="000F6A06"/>
    <w:rsid w:val="00101413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E6A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3ACD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4E7"/>
    <w:rsid w:val="001A3DDF"/>
    <w:rsid w:val="001A4310"/>
    <w:rsid w:val="001B053A"/>
    <w:rsid w:val="001B26D8"/>
    <w:rsid w:val="001B3BFA"/>
    <w:rsid w:val="001B75B8"/>
    <w:rsid w:val="001C1230"/>
    <w:rsid w:val="001C3CF4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26C"/>
    <w:rsid w:val="00207026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E21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4CA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18C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06C"/>
    <w:rsid w:val="00370155"/>
    <w:rsid w:val="003712D5"/>
    <w:rsid w:val="003736F2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03B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FF0"/>
    <w:rsid w:val="003C5BC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150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661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8D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166"/>
    <w:rsid w:val="00524231"/>
    <w:rsid w:val="005269CE"/>
    <w:rsid w:val="005304B2"/>
    <w:rsid w:val="00530894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B4B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92E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7C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7A3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7E5"/>
    <w:rsid w:val="007C496B"/>
    <w:rsid w:val="007C6803"/>
    <w:rsid w:val="007D2892"/>
    <w:rsid w:val="007D2DCC"/>
    <w:rsid w:val="007D47E1"/>
    <w:rsid w:val="007D7FCB"/>
    <w:rsid w:val="007E02A9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834"/>
    <w:rsid w:val="00830EEB"/>
    <w:rsid w:val="008347A9"/>
    <w:rsid w:val="00835628"/>
    <w:rsid w:val="008357EB"/>
    <w:rsid w:val="00835E90"/>
    <w:rsid w:val="0084176D"/>
    <w:rsid w:val="008423E4"/>
    <w:rsid w:val="00842900"/>
    <w:rsid w:val="0084550B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0A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8E5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1C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9CA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EAB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5E94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22B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F15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BBB"/>
    <w:rsid w:val="00BF4D7C"/>
    <w:rsid w:val="00BF5085"/>
    <w:rsid w:val="00BF647E"/>
    <w:rsid w:val="00C013F4"/>
    <w:rsid w:val="00C040AB"/>
    <w:rsid w:val="00C0499B"/>
    <w:rsid w:val="00C05406"/>
    <w:rsid w:val="00C05CF0"/>
    <w:rsid w:val="00C119AC"/>
    <w:rsid w:val="00C11AF2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B9C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CB3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2AE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B99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329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235"/>
    <w:rsid w:val="00F11E04"/>
    <w:rsid w:val="00F12B24"/>
    <w:rsid w:val="00F12BC7"/>
    <w:rsid w:val="00F15223"/>
    <w:rsid w:val="00F164B4"/>
    <w:rsid w:val="00F176E4"/>
    <w:rsid w:val="00F20E5F"/>
    <w:rsid w:val="00F229D2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1D4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4EBE40-5786-4440-9BBA-AF215CF5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357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5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57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5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57EB"/>
    <w:rPr>
      <w:b/>
      <w:bCs/>
    </w:rPr>
  </w:style>
  <w:style w:type="paragraph" w:styleId="ListParagraph">
    <w:name w:val="List Paragraph"/>
    <w:basedOn w:val="Normal"/>
    <w:uiPriority w:val="34"/>
    <w:qFormat/>
    <w:rsid w:val="00BC7F15"/>
    <w:pPr>
      <w:ind w:left="720"/>
      <w:contextualSpacing/>
    </w:pPr>
  </w:style>
  <w:style w:type="paragraph" w:styleId="Revision">
    <w:name w:val="Revision"/>
    <w:hidden/>
    <w:uiPriority w:val="99"/>
    <w:semiHidden/>
    <w:rsid w:val="00602B4B"/>
    <w:rPr>
      <w:sz w:val="24"/>
      <w:szCs w:val="24"/>
    </w:rPr>
  </w:style>
  <w:style w:type="character" w:styleId="Hyperlink">
    <w:name w:val="Hyperlink"/>
    <w:basedOn w:val="DefaultParagraphFont"/>
    <w:unhideWhenUsed/>
    <w:rsid w:val="00C11AF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1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4095</Characters>
  <Application>Microsoft Office Word</Application>
  <DocSecurity>4</DocSecurity>
  <Lines>91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HB02300 (Committee Report (Unamended))</vt:lpstr>
    </vt:vector>
  </TitlesOfParts>
  <Company>State of Texas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23826</dc:subject>
  <dc:creator>State of Texas</dc:creator>
  <dc:description>HB 2300 by Allen-(H)Corrections</dc:description>
  <cp:lastModifiedBy>Matthew Lee</cp:lastModifiedBy>
  <cp:revision>2</cp:revision>
  <cp:lastPrinted>2003-11-26T17:21:00Z</cp:lastPrinted>
  <dcterms:created xsi:type="dcterms:W3CDTF">2023-04-19T22:41:00Z</dcterms:created>
  <dcterms:modified xsi:type="dcterms:W3CDTF">2023-04-19T22:41:00Z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23.105.660</vt:lpwstr>
  </property>
</Properties>
</file>