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365E" w14:paraId="0FC9376F" w14:textId="77777777" w:rsidTr="00345119">
        <w:tc>
          <w:tcPr>
            <w:tcW w:w="9576" w:type="dxa"/>
            <w:noWrap/>
          </w:tcPr>
          <w:p w14:paraId="00C1398B" w14:textId="77777777" w:rsidR="008423E4" w:rsidRPr="0022177D" w:rsidRDefault="004B3C4C" w:rsidP="00653BA2">
            <w:pPr>
              <w:pStyle w:val="Heading1"/>
            </w:pPr>
            <w:r w:rsidRPr="00631897">
              <w:t>BILL ANALYSIS</w:t>
            </w:r>
          </w:p>
        </w:tc>
      </w:tr>
    </w:tbl>
    <w:p w14:paraId="35604613" w14:textId="77777777" w:rsidR="008423E4" w:rsidRPr="0022177D" w:rsidRDefault="008423E4" w:rsidP="00653BA2">
      <w:pPr>
        <w:jc w:val="center"/>
      </w:pPr>
    </w:p>
    <w:p w14:paraId="496D0E29" w14:textId="77777777" w:rsidR="008423E4" w:rsidRPr="00B31F0E" w:rsidRDefault="008423E4" w:rsidP="00653BA2"/>
    <w:p w14:paraId="77C50AC4" w14:textId="77777777" w:rsidR="008423E4" w:rsidRPr="00742794" w:rsidRDefault="008423E4" w:rsidP="00653BA2">
      <w:pPr>
        <w:tabs>
          <w:tab w:val="right" w:pos="9360"/>
        </w:tabs>
      </w:pPr>
    </w:p>
    <w:tbl>
      <w:tblPr>
        <w:tblW w:w="0" w:type="auto"/>
        <w:tblLayout w:type="fixed"/>
        <w:tblLook w:val="01E0" w:firstRow="1" w:lastRow="1" w:firstColumn="1" w:lastColumn="1" w:noHBand="0" w:noVBand="0"/>
      </w:tblPr>
      <w:tblGrid>
        <w:gridCol w:w="9576"/>
      </w:tblGrid>
      <w:tr w:rsidR="0060365E" w14:paraId="398F9D1A" w14:textId="77777777" w:rsidTr="00345119">
        <w:tc>
          <w:tcPr>
            <w:tcW w:w="9576" w:type="dxa"/>
          </w:tcPr>
          <w:p w14:paraId="5D3AF32B" w14:textId="14932402" w:rsidR="008423E4" w:rsidRPr="00861995" w:rsidRDefault="004B3C4C" w:rsidP="00653BA2">
            <w:pPr>
              <w:jc w:val="right"/>
            </w:pPr>
            <w:r>
              <w:t>C.S.H.B. 2305</w:t>
            </w:r>
          </w:p>
        </w:tc>
      </w:tr>
      <w:tr w:rsidR="0060365E" w14:paraId="45C865FF" w14:textId="77777777" w:rsidTr="00345119">
        <w:tc>
          <w:tcPr>
            <w:tcW w:w="9576" w:type="dxa"/>
          </w:tcPr>
          <w:p w14:paraId="558AB82C" w14:textId="1CE91F7A" w:rsidR="008423E4" w:rsidRPr="00861995" w:rsidRDefault="004B3C4C" w:rsidP="00653BA2">
            <w:pPr>
              <w:jc w:val="right"/>
            </w:pPr>
            <w:r>
              <w:t xml:space="preserve">By: </w:t>
            </w:r>
            <w:r w:rsidR="006D1E95">
              <w:t>Sherman, Sr.</w:t>
            </w:r>
          </w:p>
        </w:tc>
      </w:tr>
      <w:tr w:rsidR="0060365E" w14:paraId="296FD16F" w14:textId="77777777" w:rsidTr="00345119">
        <w:tc>
          <w:tcPr>
            <w:tcW w:w="9576" w:type="dxa"/>
          </w:tcPr>
          <w:p w14:paraId="33FDC4B3" w14:textId="57EECE11" w:rsidR="008423E4" w:rsidRPr="00861995" w:rsidRDefault="004B3C4C" w:rsidP="00653BA2">
            <w:pPr>
              <w:jc w:val="right"/>
            </w:pPr>
            <w:r>
              <w:t>Corrections</w:t>
            </w:r>
          </w:p>
        </w:tc>
      </w:tr>
      <w:tr w:rsidR="0060365E" w14:paraId="56A8CBB3" w14:textId="77777777" w:rsidTr="00345119">
        <w:tc>
          <w:tcPr>
            <w:tcW w:w="9576" w:type="dxa"/>
          </w:tcPr>
          <w:p w14:paraId="41C250F6" w14:textId="17491237" w:rsidR="008423E4" w:rsidRDefault="004B3C4C" w:rsidP="00653BA2">
            <w:pPr>
              <w:jc w:val="right"/>
            </w:pPr>
            <w:r>
              <w:t>Committee Report (Substituted)</w:t>
            </w:r>
          </w:p>
        </w:tc>
      </w:tr>
    </w:tbl>
    <w:p w14:paraId="249B862B" w14:textId="77777777" w:rsidR="008423E4" w:rsidRDefault="008423E4" w:rsidP="00653BA2">
      <w:pPr>
        <w:tabs>
          <w:tab w:val="right" w:pos="9360"/>
        </w:tabs>
      </w:pPr>
    </w:p>
    <w:p w14:paraId="7D76E7EC" w14:textId="77777777" w:rsidR="008423E4" w:rsidRDefault="008423E4" w:rsidP="00653BA2"/>
    <w:p w14:paraId="55AC53CD" w14:textId="77777777" w:rsidR="008423E4" w:rsidRDefault="008423E4" w:rsidP="00653BA2"/>
    <w:tbl>
      <w:tblPr>
        <w:tblW w:w="0" w:type="auto"/>
        <w:tblCellMar>
          <w:left w:w="115" w:type="dxa"/>
          <w:right w:w="115" w:type="dxa"/>
        </w:tblCellMar>
        <w:tblLook w:val="01E0" w:firstRow="1" w:lastRow="1" w:firstColumn="1" w:lastColumn="1" w:noHBand="0" w:noVBand="0"/>
      </w:tblPr>
      <w:tblGrid>
        <w:gridCol w:w="9360"/>
      </w:tblGrid>
      <w:tr w:rsidR="0060365E" w14:paraId="3877A0A0" w14:textId="77777777" w:rsidTr="00654F63">
        <w:tc>
          <w:tcPr>
            <w:tcW w:w="9360" w:type="dxa"/>
          </w:tcPr>
          <w:p w14:paraId="4F17BE1B" w14:textId="77777777" w:rsidR="008423E4" w:rsidRPr="00A8133F" w:rsidRDefault="004B3C4C" w:rsidP="00653BA2">
            <w:pPr>
              <w:rPr>
                <w:b/>
              </w:rPr>
            </w:pPr>
            <w:r w:rsidRPr="009C1E9A">
              <w:rPr>
                <w:b/>
                <w:u w:val="single"/>
              </w:rPr>
              <w:t>BACKGROUND AND PURPOSE</w:t>
            </w:r>
            <w:r>
              <w:rPr>
                <w:b/>
              </w:rPr>
              <w:t xml:space="preserve"> </w:t>
            </w:r>
          </w:p>
          <w:p w14:paraId="5CE4FB75" w14:textId="77777777" w:rsidR="008423E4" w:rsidRDefault="008423E4" w:rsidP="00653BA2"/>
          <w:p w14:paraId="578F95B0" w14:textId="7D9C0A78" w:rsidR="008423E4" w:rsidRDefault="004B3C4C" w:rsidP="00653BA2">
            <w:pPr>
              <w:pStyle w:val="Header"/>
              <w:jc w:val="both"/>
            </w:pPr>
            <w:r>
              <w:t>Texas recidivism reporting currently only focuses on individuals that have been arrested within three years after being incarcerated in the Texas Department of Criminal Justice or Texas Juvenile Justice Department. It does not, however, include individuals</w:t>
            </w:r>
            <w:r>
              <w:t xml:space="preserve"> who have been reincarcerated or repeatedly incarcerated at the county level. The inclusion of county data not only provides data to make more informed decisions within county jails and district attorney offices, but it also measures the effectiveness of r</w:t>
            </w:r>
            <w:r>
              <w:t xml:space="preserve">ehabilitation by individuals who served time in local jails. </w:t>
            </w:r>
            <w:r w:rsidR="00AB718E">
              <w:t>C.S.</w:t>
            </w:r>
            <w:r>
              <w:t>H</w:t>
            </w:r>
            <w:r w:rsidR="00AB718E">
              <w:t>.</w:t>
            </w:r>
            <w:r>
              <w:t>B</w:t>
            </w:r>
            <w:r w:rsidR="00AB718E">
              <w:t>.</w:t>
            </w:r>
            <w:r w:rsidR="009B6541">
              <w:t> </w:t>
            </w:r>
            <w:r>
              <w:t xml:space="preserve">2305 seeks to </w:t>
            </w:r>
            <w:r w:rsidR="00AF6A9F">
              <w:t xml:space="preserve">require reporting of </w:t>
            </w:r>
            <w:r>
              <w:t xml:space="preserve">rearrest and reincarceration rates beyond the state-only purview to include county analytics of the </w:t>
            </w:r>
            <w:r w:rsidR="00497E69">
              <w:t xml:space="preserve">10 </w:t>
            </w:r>
            <w:r w:rsidR="00AF6A9F">
              <w:t xml:space="preserve">most populous </w:t>
            </w:r>
            <w:r>
              <w:t xml:space="preserve">counties in Texas. </w:t>
            </w:r>
          </w:p>
          <w:p w14:paraId="3A6E6724" w14:textId="77777777" w:rsidR="008423E4" w:rsidRPr="00E26B13" w:rsidRDefault="008423E4" w:rsidP="00653BA2">
            <w:pPr>
              <w:rPr>
                <w:b/>
              </w:rPr>
            </w:pPr>
          </w:p>
        </w:tc>
      </w:tr>
      <w:tr w:rsidR="0060365E" w14:paraId="1C1E6F2B" w14:textId="77777777" w:rsidTr="00654F63">
        <w:tc>
          <w:tcPr>
            <w:tcW w:w="9360" w:type="dxa"/>
          </w:tcPr>
          <w:p w14:paraId="6059FE14" w14:textId="77777777" w:rsidR="0017725B" w:rsidRDefault="004B3C4C" w:rsidP="00653BA2">
            <w:pPr>
              <w:rPr>
                <w:b/>
                <w:u w:val="single"/>
              </w:rPr>
            </w:pPr>
            <w:r>
              <w:rPr>
                <w:b/>
                <w:u w:val="single"/>
              </w:rPr>
              <w:t>CRIMINAL JUS</w:t>
            </w:r>
            <w:r>
              <w:rPr>
                <w:b/>
                <w:u w:val="single"/>
              </w:rPr>
              <w:t>TICE IMPACT</w:t>
            </w:r>
          </w:p>
          <w:p w14:paraId="77752AF1" w14:textId="77777777" w:rsidR="0017725B" w:rsidRDefault="0017725B" w:rsidP="00653BA2">
            <w:pPr>
              <w:rPr>
                <w:b/>
                <w:u w:val="single"/>
              </w:rPr>
            </w:pPr>
          </w:p>
          <w:p w14:paraId="746674DB" w14:textId="199DE7C1" w:rsidR="00F10A86" w:rsidRPr="00F10A86" w:rsidRDefault="004B3C4C" w:rsidP="00653BA2">
            <w:pPr>
              <w:jc w:val="both"/>
            </w:pPr>
            <w:r>
              <w:t>It is the committee's opinion that this bill does not expressly create a criminal offense, increase the punishment for an existing criminal offense or category of offenses, or change the eligibility of a person for community supervision, parol</w:t>
            </w:r>
            <w:r>
              <w:t>e, or mandatory supervision.</w:t>
            </w:r>
          </w:p>
          <w:p w14:paraId="645B42CC" w14:textId="77777777" w:rsidR="0017725B" w:rsidRPr="0017725B" w:rsidRDefault="0017725B" w:rsidP="00653BA2">
            <w:pPr>
              <w:rPr>
                <w:b/>
                <w:u w:val="single"/>
              </w:rPr>
            </w:pPr>
          </w:p>
        </w:tc>
      </w:tr>
      <w:tr w:rsidR="0060365E" w14:paraId="7FAAF075" w14:textId="77777777" w:rsidTr="00654F63">
        <w:tc>
          <w:tcPr>
            <w:tcW w:w="9360" w:type="dxa"/>
          </w:tcPr>
          <w:p w14:paraId="569B7D0B" w14:textId="77777777" w:rsidR="008423E4" w:rsidRPr="00A8133F" w:rsidRDefault="004B3C4C" w:rsidP="00653BA2">
            <w:pPr>
              <w:rPr>
                <w:b/>
              </w:rPr>
            </w:pPr>
            <w:r w:rsidRPr="009C1E9A">
              <w:rPr>
                <w:b/>
                <w:u w:val="single"/>
              </w:rPr>
              <w:t>RULEMAKING AUTHORITY</w:t>
            </w:r>
            <w:r>
              <w:rPr>
                <w:b/>
              </w:rPr>
              <w:t xml:space="preserve"> </w:t>
            </w:r>
          </w:p>
          <w:p w14:paraId="2618E038" w14:textId="77777777" w:rsidR="008423E4" w:rsidRDefault="008423E4" w:rsidP="00653BA2"/>
          <w:p w14:paraId="3C72B7E9" w14:textId="18064388" w:rsidR="00F10A86" w:rsidRDefault="004B3C4C" w:rsidP="00653BA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F51C978" w14:textId="77777777" w:rsidR="008423E4" w:rsidRPr="00E21FDC" w:rsidRDefault="008423E4" w:rsidP="00653BA2">
            <w:pPr>
              <w:rPr>
                <w:b/>
              </w:rPr>
            </w:pPr>
          </w:p>
        </w:tc>
      </w:tr>
      <w:tr w:rsidR="0060365E" w14:paraId="5CC1AFD5" w14:textId="77777777" w:rsidTr="00654F63">
        <w:tc>
          <w:tcPr>
            <w:tcW w:w="9360" w:type="dxa"/>
          </w:tcPr>
          <w:p w14:paraId="5BD7C00C" w14:textId="77777777" w:rsidR="008423E4" w:rsidRPr="00A8133F" w:rsidRDefault="004B3C4C" w:rsidP="00653BA2">
            <w:pPr>
              <w:rPr>
                <w:b/>
              </w:rPr>
            </w:pPr>
            <w:r w:rsidRPr="009C1E9A">
              <w:rPr>
                <w:b/>
                <w:u w:val="single"/>
              </w:rPr>
              <w:t>ANALYSIS</w:t>
            </w:r>
            <w:r>
              <w:rPr>
                <w:b/>
              </w:rPr>
              <w:t xml:space="preserve"> </w:t>
            </w:r>
          </w:p>
          <w:p w14:paraId="7EEF7CD3" w14:textId="77777777" w:rsidR="008423E4" w:rsidRDefault="008423E4" w:rsidP="00653BA2"/>
          <w:p w14:paraId="17B02DE2" w14:textId="66065D7B" w:rsidR="003E5DD3" w:rsidRDefault="004B3C4C" w:rsidP="00653BA2">
            <w:pPr>
              <w:pStyle w:val="Header"/>
              <w:tabs>
                <w:tab w:val="clear" w:pos="4320"/>
                <w:tab w:val="clear" w:pos="8640"/>
              </w:tabs>
              <w:jc w:val="both"/>
            </w:pPr>
            <w:r>
              <w:t>C.S.</w:t>
            </w:r>
            <w:r w:rsidR="006A5EC4">
              <w:t>H.B. 2305 amends the Government Code to require the Legislative Budget Board (LBB)</w:t>
            </w:r>
            <w:r w:rsidR="00AD626E">
              <w:t>, in collaboration with the Department of Public Safety</w:t>
            </w:r>
            <w:r>
              <w:t xml:space="preserve"> (DPS) and each county sheriff</w:t>
            </w:r>
            <w:r w:rsidR="00AD626E">
              <w:t>,</w:t>
            </w:r>
            <w:r w:rsidR="006A5EC4">
              <w:t xml:space="preserve"> to </w:t>
            </w:r>
            <w:r w:rsidR="006A5EC4" w:rsidRPr="006A5EC4">
              <w:t>prepare a biennial report</w:t>
            </w:r>
            <w:r w:rsidR="00F10A86">
              <w:t xml:space="preserve"> </w:t>
            </w:r>
            <w:r w:rsidR="006A5EC4" w:rsidRPr="006A5EC4">
              <w:t>on recidivism</w:t>
            </w:r>
            <w:r w:rsidR="00AC2703">
              <w:t xml:space="preserve"> that includes rearrest and reincarceration</w:t>
            </w:r>
            <w:r>
              <w:t xml:space="preserve"> r</w:t>
            </w:r>
            <w:r>
              <w:t>ates. The report must</w:t>
            </w:r>
            <w:r w:rsidR="006A5EC4" w:rsidRPr="006A5EC4">
              <w:t xml:space="preserve"> include</w:t>
            </w:r>
            <w:r w:rsidR="00AC2703">
              <w:t xml:space="preserve"> the following</w:t>
            </w:r>
            <w:r>
              <w:t>:</w:t>
            </w:r>
            <w:r w:rsidR="00F10A86">
              <w:t xml:space="preserve"> </w:t>
            </w:r>
          </w:p>
          <w:p w14:paraId="7B13630C" w14:textId="377D6F88" w:rsidR="003E5DD3" w:rsidRDefault="004B3C4C" w:rsidP="00653BA2">
            <w:pPr>
              <w:pStyle w:val="Header"/>
              <w:numPr>
                <w:ilvl w:val="0"/>
                <w:numId w:val="2"/>
              </w:numPr>
              <w:tabs>
                <w:tab w:val="clear" w:pos="4320"/>
                <w:tab w:val="clear" w:pos="8640"/>
              </w:tabs>
              <w:jc w:val="both"/>
            </w:pPr>
            <w:r w:rsidRPr="00345809">
              <w:t>statewide rearrest and reincarceration rates for individuals released from the Texas Department of Criminal Justice</w:t>
            </w:r>
            <w:r w:rsidR="00AC5396">
              <w:t xml:space="preserve"> (TDCJ)</w:t>
            </w:r>
            <w:r w:rsidRPr="00345809">
              <w:t xml:space="preserve"> or the Texas Juvenile Justice Department</w:t>
            </w:r>
            <w:r w:rsidR="00AC5396">
              <w:t xml:space="preserve"> (TJJD)</w:t>
            </w:r>
            <w:r w:rsidR="00CC32E4">
              <w:t>;</w:t>
            </w:r>
            <w:r w:rsidR="006A5EC4" w:rsidRPr="006A5EC4">
              <w:t xml:space="preserve"> </w:t>
            </w:r>
            <w:r w:rsidR="006A5EC4">
              <w:t xml:space="preserve">and </w:t>
            </w:r>
          </w:p>
          <w:p w14:paraId="06F3C904" w14:textId="61BE9F8A" w:rsidR="003E5DD3" w:rsidRDefault="004B3C4C" w:rsidP="00653BA2">
            <w:pPr>
              <w:pStyle w:val="Header"/>
              <w:numPr>
                <w:ilvl w:val="0"/>
                <w:numId w:val="2"/>
              </w:numPr>
              <w:tabs>
                <w:tab w:val="clear" w:pos="4320"/>
                <w:tab w:val="clear" w:pos="8640"/>
              </w:tabs>
              <w:jc w:val="both"/>
            </w:pPr>
            <w:r w:rsidRPr="00345809">
              <w:t>rearrest and reincarceration rate</w:t>
            </w:r>
            <w:r w:rsidRPr="00345809">
              <w:t>s for all individuals for the following counties:</w:t>
            </w:r>
          </w:p>
          <w:p w14:paraId="517F492A" w14:textId="1678A4B5" w:rsidR="00345809" w:rsidRDefault="004B3C4C" w:rsidP="00653BA2">
            <w:pPr>
              <w:pStyle w:val="Header"/>
              <w:numPr>
                <w:ilvl w:val="1"/>
                <w:numId w:val="2"/>
              </w:numPr>
              <w:jc w:val="both"/>
            </w:pPr>
            <w:r>
              <w:t>Bexar</w:t>
            </w:r>
            <w:r w:rsidR="00CD3555">
              <w:t xml:space="preserve"> County</w:t>
            </w:r>
            <w:r>
              <w:t>;</w:t>
            </w:r>
          </w:p>
          <w:p w14:paraId="1B26C2FA" w14:textId="10AB7AE7" w:rsidR="00345809" w:rsidRDefault="004B3C4C" w:rsidP="00653BA2">
            <w:pPr>
              <w:pStyle w:val="Header"/>
              <w:numPr>
                <w:ilvl w:val="1"/>
                <w:numId w:val="2"/>
              </w:numPr>
              <w:jc w:val="both"/>
            </w:pPr>
            <w:r>
              <w:t>Collin</w:t>
            </w:r>
            <w:r w:rsidR="00CD3555">
              <w:t xml:space="preserve"> County</w:t>
            </w:r>
            <w:r>
              <w:t>;</w:t>
            </w:r>
          </w:p>
          <w:p w14:paraId="3912A7D2" w14:textId="54D3BFEB" w:rsidR="00345809" w:rsidRDefault="004B3C4C" w:rsidP="00653BA2">
            <w:pPr>
              <w:pStyle w:val="Header"/>
              <w:numPr>
                <w:ilvl w:val="1"/>
                <w:numId w:val="2"/>
              </w:numPr>
              <w:jc w:val="both"/>
            </w:pPr>
            <w:r>
              <w:t>Dallas</w:t>
            </w:r>
            <w:r w:rsidR="00CD3555">
              <w:t xml:space="preserve"> County</w:t>
            </w:r>
            <w:r>
              <w:t>;</w:t>
            </w:r>
          </w:p>
          <w:p w14:paraId="1BBCE335" w14:textId="095DEAB4" w:rsidR="00345809" w:rsidRDefault="004B3C4C" w:rsidP="00653BA2">
            <w:pPr>
              <w:pStyle w:val="Header"/>
              <w:numPr>
                <w:ilvl w:val="1"/>
                <w:numId w:val="2"/>
              </w:numPr>
              <w:jc w:val="both"/>
            </w:pPr>
            <w:r>
              <w:t>Denton</w:t>
            </w:r>
            <w:r w:rsidR="00CD3555">
              <w:t xml:space="preserve"> County</w:t>
            </w:r>
            <w:r>
              <w:t>;</w:t>
            </w:r>
          </w:p>
          <w:p w14:paraId="38651968" w14:textId="12505548" w:rsidR="00345809" w:rsidRDefault="004B3C4C" w:rsidP="00653BA2">
            <w:pPr>
              <w:pStyle w:val="Header"/>
              <w:numPr>
                <w:ilvl w:val="1"/>
                <w:numId w:val="2"/>
              </w:numPr>
              <w:jc w:val="both"/>
            </w:pPr>
            <w:r>
              <w:t>El Paso</w:t>
            </w:r>
            <w:r w:rsidR="00CD3555">
              <w:t xml:space="preserve"> County</w:t>
            </w:r>
            <w:r>
              <w:t>;</w:t>
            </w:r>
          </w:p>
          <w:p w14:paraId="198C8A9E" w14:textId="7DCC62EE" w:rsidR="00345809" w:rsidRDefault="004B3C4C" w:rsidP="00653BA2">
            <w:pPr>
              <w:pStyle w:val="Header"/>
              <w:numPr>
                <w:ilvl w:val="1"/>
                <w:numId w:val="2"/>
              </w:numPr>
              <w:jc w:val="both"/>
            </w:pPr>
            <w:r>
              <w:t>Fort Bend</w:t>
            </w:r>
            <w:r w:rsidR="00CD3555">
              <w:t xml:space="preserve"> County</w:t>
            </w:r>
            <w:r>
              <w:t>;</w:t>
            </w:r>
          </w:p>
          <w:p w14:paraId="3FAE8F16" w14:textId="3908A509" w:rsidR="00345809" w:rsidRDefault="004B3C4C" w:rsidP="00653BA2">
            <w:pPr>
              <w:pStyle w:val="Header"/>
              <w:numPr>
                <w:ilvl w:val="1"/>
                <w:numId w:val="2"/>
              </w:numPr>
              <w:jc w:val="both"/>
            </w:pPr>
            <w:r>
              <w:t>Harris</w:t>
            </w:r>
            <w:r w:rsidR="00CD3555">
              <w:t xml:space="preserve"> County</w:t>
            </w:r>
            <w:r>
              <w:t>;</w:t>
            </w:r>
          </w:p>
          <w:p w14:paraId="26B427F8" w14:textId="40840141" w:rsidR="00345809" w:rsidRDefault="004B3C4C" w:rsidP="00653BA2">
            <w:pPr>
              <w:pStyle w:val="Header"/>
              <w:numPr>
                <w:ilvl w:val="1"/>
                <w:numId w:val="2"/>
              </w:numPr>
              <w:jc w:val="both"/>
            </w:pPr>
            <w:r>
              <w:t>Hidalgo</w:t>
            </w:r>
            <w:r w:rsidR="00CD3555">
              <w:t xml:space="preserve"> County</w:t>
            </w:r>
            <w:r>
              <w:t>;</w:t>
            </w:r>
          </w:p>
          <w:p w14:paraId="686E1AED" w14:textId="6BCAA874" w:rsidR="00345809" w:rsidRDefault="004B3C4C" w:rsidP="00653BA2">
            <w:pPr>
              <w:pStyle w:val="Header"/>
              <w:numPr>
                <w:ilvl w:val="1"/>
                <w:numId w:val="2"/>
              </w:numPr>
              <w:jc w:val="both"/>
            </w:pPr>
            <w:r>
              <w:t>Tarrant</w:t>
            </w:r>
            <w:r w:rsidR="00CD3555">
              <w:t xml:space="preserve"> County</w:t>
            </w:r>
            <w:r>
              <w:t>; and</w:t>
            </w:r>
          </w:p>
          <w:p w14:paraId="0D6A1B9B" w14:textId="0ACC09AA" w:rsidR="00345809" w:rsidRDefault="004B3C4C" w:rsidP="00653BA2">
            <w:pPr>
              <w:pStyle w:val="Header"/>
              <w:numPr>
                <w:ilvl w:val="1"/>
                <w:numId w:val="2"/>
              </w:numPr>
              <w:tabs>
                <w:tab w:val="clear" w:pos="4320"/>
                <w:tab w:val="clear" w:pos="8640"/>
              </w:tabs>
              <w:jc w:val="both"/>
            </w:pPr>
            <w:r>
              <w:t>Travis</w:t>
            </w:r>
            <w:r w:rsidR="00CD3555">
              <w:t xml:space="preserve"> County</w:t>
            </w:r>
            <w:r>
              <w:t>.</w:t>
            </w:r>
          </w:p>
          <w:p w14:paraId="550EC754" w14:textId="77777777" w:rsidR="008423E4" w:rsidRDefault="004B3C4C" w:rsidP="00653BA2">
            <w:pPr>
              <w:pStyle w:val="Header"/>
              <w:tabs>
                <w:tab w:val="clear" w:pos="4320"/>
                <w:tab w:val="clear" w:pos="8640"/>
              </w:tabs>
              <w:jc w:val="both"/>
            </w:pPr>
            <w:r w:rsidRPr="006A5EC4">
              <w:t>The</w:t>
            </w:r>
            <w:r>
              <w:t xml:space="preserve"> bill requires DPS</w:t>
            </w:r>
            <w:r w:rsidR="00904554">
              <w:t xml:space="preserve"> and </w:t>
            </w:r>
            <w:r w:rsidR="00AF6A9F">
              <w:t xml:space="preserve">each county </w:t>
            </w:r>
            <w:r w:rsidR="00904554">
              <w:t>sheriff</w:t>
            </w:r>
            <w:r>
              <w:t xml:space="preserve"> to</w:t>
            </w:r>
            <w:r w:rsidRPr="006A5EC4">
              <w:t xml:space="preserve"> provide any information requested by the </w:t>
            </w:r>
            <w:r>
              <w:t>LBB</w:t>
            </w:r>
            <w:r w:rsidRPr="006A5EC4">
              <w:t xml:space="preserve"> for the purpose of preparing the report.</w:t>
            </w:r>
            <w:r>
              <w:t xml:space="preserve"> The bill authorizes the report to be included in any other report made by the LBB</w:t>
            </w:r>
            <w:r w:rsidR="00AC2703">
              <w:t>,</w:t>
            </w:r>
            <w:r w:rsidR="003D3280">
              <w:t xml:space="preserve"> but requires the LBB to submit the report </w:t>
            </w:r>
            <w:r w:rsidR="003D3280" w:rsidRPr="00F10A86">
              <w:t>to the governor, lieutenant governor, and each member of the legislature</w:t>
            </w:r>
            <w:r w:rsidR="003D3280">
              <w:t xml:space="preserve"> not </w:t>
            </w:r>
            <w:r w:rsidR="003D3280" w:rsidRPr="00F10A86">
              <w:t xml:space="preserve">later than </w:t>
            </w:r>
            <w:r w:rsidR="00904554" w:rsidRPr="00904554">
              <w:t>the last day of February of each odd-numbered year</w:t>
            </w:r>
            <w:r>
              <w:t xml:space="preserve">. </w:t>
            </w:r>
          </w:p>
          <w:p w14:paraId="145D5CE6" w14:textId="12CCC784" w:rsidR="00653BA2" w:rsidRPr="00F10A86" w:rsidRDefault="00653BA2" w:rsidP="00653BA2">
            <w:pPr>
              <w:pStyle w:val="Header"/>
              <w:tabs>
                <w:tab w:val="clear" w:pos="4320"/>
                <w:tab w:val="clear" w:pos="8640"/>
              </w:tabs>
              <w:jc w:val="both"/>
            </w:pPr>
          </w:p>
        </w:tc>
      </w:tr>
      <w:tr w:rsidR="0060365E" w14:paraId="33274071" w14:textId="77777777" w:rsidTr="00654F63">
        <w:tc>
          <w:tcPr>
            <w:tcW w:w="9360" w:type="dxa"/>
          </w:tcPr>
          <w:p w14:paraId="0D8354C6" w14:textId="77777777" w:rsidR="008423E4" w:rsidRPr="00A8133F" w:rsidRDefault="004B3C4C" w:rsidP="00653BA2">
            <w:pPr>
              <w:rPr>
                <w:b/>
              </w:rPr>
            </w:pPr>
            <w:r w:rsidRPr="009C1E9A">
              <w:rPr>
                <w:b/>
                <w:u w:val="single"/>
              </w:rPr>
              <w:t>EFFECTIVE DATE</w:t>
            </w:r>
            <w:r>
              <w:rPr>
                <w:b/>
              </w:rPr>
              <w:t xml:space="preserve"> </w:t>
            </w:r>
          </w:p>
          <w:p w14:paraId="0257F3F8" w14:textId="77777777" w:rsidR="008423E4" w:rsidRDefault="008423E4" w:rsidP="00653BA2"/>
          <w:p w14:paraId="644C85ED" w14:textId="77777777" w:rsidR="008423E4" w:rsidRDefault="004B3C4C" w:rsidP="00653BA2">
            <w:pPr>
              <w:pStyle w:val="Header"/>
              <w:tabs>
                <w:tab w:val="clear" w:pos="4320"/>
                <w:tab w:val="clear" w:pos="8640"/>
              </w:tabs>
              <w:jc w:val="both"/>
            </w:pPr>
            <w:r>
              <w:t>September 1, 2023.</w:t>
            </w:r>
          </w:p>
          <w:p w14:paraId="751B4B5E" w14:textId="3301BA15" w:rsidR="00653BA2" w:rsidRPr="00233FDB" w:rsidRDefault="00653BA2" w:rsidP="00653BA2">
            <w:pPr>
              <w:pStyle w:val="Header"/>
              <w:tabs>
                <w:tab w:val="clear" w:pos="4320"/>
                <w:tab w:val="clear" w:pos="8640"/>
              </w:tabs>
              <w:jc w:val="both"/>
              <w:rPr>
                <w:b/>
              </w:rPr>
            </w:pPr>
          </w:p>
        </w:tc>
      </w:tr>
      <w:tr w:rsidR="0060365E" w14:paraId="000E0D78" w14:textId="77777777" w:rsidTr="00654F63">
        <w:tc>
          <w:tcPr>
            <w:tcW w:w="9360" w:type="dxa"/>
          </w:tcPr>
          <w:p w14:paraId="043B898D" w14:textId="69FB8013" w:rsidR="006D1E95" w:rsidRDefault="004B3C4C" w:rsidP="00653BA2">
            <w:pPr>
              <w:jc w:val="both"/>
              <w:rPr>
                <w:b/>
                <w:u w:val="single"/>
              </w:rPr>
            </w:pPr>
            <w:r>
              <w:rPr>
                <w:b/>
                <w:u w:val="single"/>
              </w:rPr>
              <w:t>COMPARISON OF INTRODUCED AND SUBSTITUTE</w:t>
            </w:r>
          </w:p>
          <w:p w14:paraId="30800A9C" w14:textId="77777777" w:rsidR="00654F63" w:rsidRDefault="00654F63" w:rsidP="00653BA2">
            <w:pPr>
              <w:jc w:val="both"/>
            </w:pPr>
          </w:p>
          <w:p w14:paraId="6856D034" w14:textId="069D6E75" w:rsidR="00654F63" w:rsidRDefault="004B3C4C" w:rsidP="00653BA2">
            <w:pPr>
              <w:jc w:val="both"/>
            </w:pPr>
            <w:r>
              <w:t xml:space="preserve">While C.S.H.B. </w:t>
            </w:r>
            <w:r w:rsidR="004332D5">
              <w:t>2305</w:t>
            </w:r>
            <w:r>
              <w:t xml:space="preserve"> may differ from the introduced in minor or nonsubstantive ways, the following summarizes the substantial differences between the introduced and committee substitute versions of the bill.</w:t>
            </w:r>
          </w:p>
          <w:p w14:paraId="63581014" w14:textId="77777777" w:rsidR="004332D5" w:rsidRDefault="004332D5" w:rsidP="00653BA2">
            <w:pPr>
              <w:jc w:val="both"/>
            </w:pPr>
          </w:p>
          <w:p w14:paraId="3A0152D1" w14:textId="2582A959" w:rsidR="004332D5" w:rsidRDefault="004B3C4C" w:rsidP="00653BA2">
            <w:pPr>
              <w:jc w:val="both"/>
            </w:pPr>
            <w:r>
              <w:t>T</w:t>
            </w:r>
            <w:r w:rsidRPr="004332D5">
              <w:t xml:space="preserve">he substitute changes </w:t>
            </w:r>
            <w:r w:rsidR="00CD3555">
              <w:t xml:space="preserve">the required contents of the report that appeared </w:t>
            </w:r>
            <w:r w:rsidRPr="004332D5">
              <w:t xml:space="preserve">in </w:t>
            </w:r>
            <w:r w:rsidR="00CD3555">
              <w:t xml:space="preserve">the </w:t>
            </w:r>
            <w:r w:rsidRPr="004332D5">
              <w:t>introduced as follows:</w:t>
            </w:r>
          </w:p>
          <w:p w14:paraId="7A2A06BC" w14:textId="0278E885" w:rsidR="00CD3555" w:rsidRDefault="004B3C4C" w:rsidP="00653BA2">
            <w:pPr>
              <w:pStyle w:val="ListParagraph"/>
              <w:numPr>
                <w:ilvl w:val="0"/>
                <w:numId w:val="3"/>
              </w:numPr>
              <w:contextualSpacing w:val="0"/>
              <w:jc w:val="both"/>
            </w:pPr>
            <w:r>
              <w:t xml:space="preserve">by </w:t>
            </w:r>
            <w:r w:rsidR="00AC2703">
              <w:t>omitti</w:t>
            </w:r>
            <w:r w:rsidR="005E208C">
              <w:t xml:space="preserve">ng </w:t>
            </w:r>
            <w:r>
              <w:t>statewide reconviction rates and reconviction rates for each county</w:t>
            </w:r>
            <w:r w:rsidR="00AC5396">
              <w:t>,</w:t>
            </w:r>
            <w:r w:rsidR="005E208C">
              <w:t xml:space="preserve"> </w:t>
            </w:r>
            <w:r w:rsidR="00AC2703">
              <w:t>which were included in the introduced</w:t>
            </w:r>
            <w:r w:rsidR="00AC5396">
              <w:t>,</w:t>
            </w:r>
            <w:r w:rsidR="00AC2703">
              <w:t xml:space="preserve"> </w:t>
            </w:r>
            <w:r w:rsidR="005E208C">
              <w:t>from the required contents</w:t>
            </w:r>
            <w:r>
              <w:t>;</w:t>
            </w:r>
            <w:r w:rsidR="005E208C">
              <w:t xml:space="preserve"> </w:t>
            </w:r>
          </w:p>
          <w:p w14:paraId="604DA209" w14:textId="5E16DB56" w:rsidR="005E208C" w:rsidRDefault="004B3C4C" w:rsidP="00653BA2">
            <w:pPr>
              <w:pStyle w:val="ListParagraph"/>
              <w:numPr>
                <w:ilvl w:val="0"/>
                <w:numId w:val="3"/>
              </w:numPr>
              <w:contextualSpacing w:val="0"/>
              <w:jc w:val="both"/>
            </w:pPr>
            <w:r>
              <w:t xml:space="preserve">by replacing rearrest and reincarceration rates for each county, as in </w:t>
            </w:r>
            <w:r>
              <w:t>the introduced, with rearrest and reincarceration for all individuals for specified counties</w:t>
            </w:r>
            <w:r w:rsidR="00AC5396">
              <w:t>;</w:t>
            </w:r>
          </w:p>
          <w:p w14:paraId="0AFFE457" w14:textId="0D1ECFA9" w:rsidR="00CD3555" w:rsidRDefault="004B3C4C" w:rsidP="00653BA2">
            <w:pPr>
              <w:pStyle w:val="ListParagraph"/>
              <w:numPr>
                <w:ilvl w:val="0"/>
                <w:numId w:val="3"/>
              </w:numPr>
              <w:contextualSpacing w:val="0"/>
              <w:jc w:val="both"/>
            </w:pPr>
            <w:r>
              <w:t xml:space="preserve">by </w:t>
            </w:r>
            <w:r w:rsidR="00AC5396">
              <w:t>including a specification absent from the introduced</w:t>
            </w:r>
            <w:r>
              <w:t xml:space="preserve"> that the statewide rearrest and reincarceration rates include</w:t>
            </w:r>
            <w:r w:rsidR="00AC5396">
              <w:t>d in the report are</w:t>
            </w:r>
            <w:r>
              <w:t xml:space="preserve"> rates </w:t>
            </w:r>
            <w:r w:rsidR="00AC5396">
              <w:t>for</w:t>
            </w:r>
            <w:r>
              <w:t xml:space="preserve"> individuals released from </w:t>
            </w:r>
            <w:r w:rsidR="00AC5396">
              <w:t>TDCJ or TJJD</w:t>
            </w:r>
            <w:r>
              <w:t>;</w:t>
            </w:r>
            <w:r w:rsidR="005E208C">
              <w:t xml:space="preserve"> and</w:t>
            </w:r>
          </w:p>
          <w:p w14:paraId="413F050A" w14:textId="75C47FE5" w:rsidR="00CD3555" w:rsidRDefault="004B3C4C" w:rsidP="00653BA2">
            <w:pPr>
              <w:pStyle w:val="ListParagraph"/>
              <w:numPr>
                <w:ilvl w:val="0"/>
                <w:numId w:val="3"/>
              </w:numPr>
              <w:contextualSpacing w:val="0"/>
              <w:jc w:val="both"/>
            </w:pPr>
            <w:r>
              <w:t>by omitting information regarding individuals who have served any part of a sentence in a county jail and individuals wh</w:t>
            </w:r>
            <w:r>
              <w:t>o are rearrested, reconvicted, or reincarcerated in other states, which were included in the introduced, from the required contents.</w:t>
            </w:r>
          </w:p>
          <w:p w14:paraId="118E5727" w14:textId="77777777" w:rsidR="00602144" w:rsidRDefault="00602144" w:rsidP="00653BA2">
            <w:pPr>
              <w:pStyle w:val="ListParagraph"/>
              <w:contextualSpacing w:val="0"/>
              <w:jc w:val="both"/>
            </w:pPr>
          </w:p>
          <w:p w14:paraId="3060558D" w14:textId="17532D91" w:rsidR="00195535" w:rsidRDefault="004B3C4C" w:rsidP="00653BA2">
            <w:pPr>
              <w:jc w:val="both"/>
            </w:pPr>
            <w:r>
              <w:t>While both the introduced and substitute require the LBB</w:t>
            </w:r>
            <w:r w:rsidR="006F15F6">
              <w:t xml:space="preserve"> to collaborate with DPS</w:t>
            </w:r>
            <w:r w:rsidR="00AC5396">
              <w:t xml:space="preserve"> in preparing the report</w:t>
            </w:r>
            <w:r w:rsidR="00602144">
              <w:t xml:space="preserve"> and requires DPS to provide any requested information for that purpose</w:t>
            </w:r>
            <w:r w:rsidR="006F15F6">
              <w:t xml:space="preserve">, the substitute </w:t>
            </w:r>
            <w:r w:rsidR="00602144">
              <w:t>requires</w:t>
            </w:r>
            <w:r w:rsidR="006F15F6">
              <w:t xml:space="preserve"> the LBB to </w:t>
            </w:r>
            <w:r w:rsidR="00602144">
              <w:t xml:space="preserve">also </w:t>
            </w:r>
            <w:r w:rsidR="006F15F6">
              <w:t xml:space="preserve">collaborate with each county sheriff </w:t>
            </w:r>
            <w:r w:rsidR="00602144">
              <w:t xml:space="preserve">in doing so </w:t>
            </w:r>
            <w:r w:rsidR="006F15F6">
              <w:t xml:space="preserve">and </w:t>
            </w:r>
            <w:r w:rsidR="00602144">
              <w:t xml:space="preserve">requires </w:t>
            </w:r>
            <w:r w:rsidR="006F15F6">
              <w:t xml:space="preserve">each county sheriff to provide any requested </w:t>
            </w:r>
            <w:r w:rsidR="00602144">
              <w:t xml:space="preserve">information </w:t>
            </w:r>
            <w:r w:rsidR="006F15F6">
              <w:t xml:space="preserve">for </w:t>
            </w:r>
            <w:r w:rsidR="00602144">
              <w:t xml:space="preserve">that </w:t>
            </w:r>
            <w:r w:rsidR="006F15F6">
              <w:t>purpose</w:t>
            </w:r>
            <w:r w:rsidR="00602144">
              <w:t>, whereas the introduced did not include any such requirements relating to the sheriffs</w:t>
            </w:r>
            <w:r w:rsidR="006F15F6">
              <w:t xml:space="preserve">. </w:t>
            </w:r>
            <w:r>
              <w:t xml:space="preserve"> </w:t>
            </w:r>
          </w:p>
          <w:p w14:paraId="50C9FF23" w14:textId="77777777" w:rsidR="00195535" w:rsidRDefault="00195535" w:rsidP="00653BA2">
            <w:pPr>
              <w:jc w:val="both"/>
            </w:pPr>
          </w:p>
          <w:p w14:paraId="77D1A5B7" w14:textId="792261D7" w:rsidR="004332D5" w:rsidRDefault="004B3C4C" w:rsidP="00653BA2">
            <w:pPr>
              <w:jc w:val="both"/>
            </w:pPr>
            <w:r>
              <w:t xml:space="preserve">The substitute </w:t>
            </w:r>
            <w:r w:rsidR="00345809">
              <w:t xml:space="preserve">changes the deadline for the report from </w:t>
            </w:r>
            <w:r w:rsidR="00345809" w:rsidRPr="00345809">
              <w:t>December 1 of each even-numbered year</w:t>
            </w:r>
            <w:r>
              <w:t>, as in the introduced,</w:t>
            </w:r>
            <w:r w:rsidR="00345809">
              <w:t xml:space="preserve"> to </w:t>
            </w:r>
            <w:r w:rsidR="00345809" w:rsidRPr="00345809">
              <w:t>the last day of February of each odd-numbered year</w:t>
            </w:r>
            <w:r w:rsidR="00345809">
              <w:t>.</w:t>
            </w:r>
          </w:p>
          <w:p w14:paraId="6F8BC5D5" w14:textId="77777777" w:rsidR="004332D5" w:rsidRPr="00654F63" w:rsidRDefault="004332D5" w:rsidP="00653BA2">
            <w:pPr>
              <w:jc w:val="both"/>
            </w:pPr>
          </w:p>
          <w:p w14:paraId="18267479" w14:textId="3AC8C3C1" w:rsidR="00654F63" w:rsidRPr="00654F63" w:rsidRDefault="004B3C4C" w:rsidP="00653BA2">
            <w:pPr>
              <w:jc w:val="both"/>
              <w:rPr>
                <w:bCs/>
              </w:rPr>
            </w:pPr>
            <w:r>
              <w:rPr>
                <w:bCs/>
              </w:rPr>
              <w:t>W</w:t>
            </w:r>
            <w:r w:rsidR="004332D5" w:rsidRPr="004332D5">
              <w:rPr>
                <w:bCs/>
              </w:rPr>
              <w:t>hereas the introduced provided</w:t>
            </w:r>
            <w:r w:rsidR="004332D5">
              <w:rPr>
                <w:bCs/>
              </w:rPr>
              <w:t xml:space="preserve"> </w:t>
            </w:r>
            <w:r w:rsidR="004332D5" w:rsidRPr="004332D5">
              <w:rPr>
                <w:bCs/>
              </w:rPr>
              <w:t>for the</w:t>
            </w:r>
            <w:r w:rsidR="006F15F6">
              <w:rPr>
                <w:bCs/>
              </w:rPr>
              <w:t xml:space="preserve"> bill</w:t>
            </w:r>
            <w:r>
              <w:rPr>
                <w:bCs/>
              </w:rPr>
              <w:t xml:space="preserve">'s </w:t>
            </w:r>
            <w:r w:rsidR="004332D5" w:rsidRPr="004332D5">
              <w:rPr>
                <w:bCs/>
              </w:rPr>
              <w:t>possible immediate effect,</w:t>
            </w:r>
            <w:r w:rsidR="004332D5">
              <w:rPr>
                <w:bCs/>
              </w:rPr>
              <w:t xml:space="preserve"> </w:t>
            </w:r>
            <w:r w:rsidR="004332D5" w:rsidRPr="004332D5">
              <w:rPr>
                <w:bCs/>
              </w:rPr>
              <w:t>contingent on receiving the requisite constitutional vote</w:t>
            </w:r>
            <w:r>
              <w:rPr>
                <w:bCs/>
              </w:rPr>
              <w:t>, t</w:t>
            </w:r>
            <w:r w:rsidRPr="004332D5">
              <w:rPr>
                <w:bCs/>
              </w:rPr>
              <w:t xml:space="preserve">he substitute changes the bill's effective date to September 1, </w:t>
            </w:r>
            <w:r>
              <w:rPr>
                <w:bCs/>
              </w:rPr>
              <w:t>2023</w:t>
            </w:r>
            <w:r w:rsidRPr="004332D5">
              <w:rPr>
                <w:bCs/>
              </w:rPr>
              <w:t>, with no possibility for immediate effect</w:t>
            </w:r>
            <w:r>
              <w:rPr>
                <w:bCs/>
              </w:rPr>
              <w:t>.</w:t>
            </w:r>
          </w:p>
          <w:p w14:paraId="78DAE19C" w14:textId="0640EFC8" w:rsidR="006D1E95" w:rsidRPr="006D1E95" w:rsidRDefault="006D1E95" w:rsidP="00653BA2">
            <w:pPr>
              <w:jc w:val="both"/>
              <w:rPr>
                <w:b/>
                <w:u w:val="single"/>
              </w:rPr>
            </w:pPr>
          </w:p>
        </w:tc>
      </w:tr>
    </w:tbl>
    <w:p w14:paraId="03E00599" w14:textId="77777777" w:rsidR="008423E4" w:rsidRPr="00BE0E75" w:rsidRDefault="008423E4" w:rsidP="00653BA2">
      <w:pPr>
        <w:jc w:val="both"/>
        <w:rPr>
          <w:rFonts w:ascii="Arial" w:hAnsi="Arial"/>
          <w:sz w:val="16"/>
          <w:szCs w:val="16"/>
        </w:rPr>
      </w:pPr>
    </w:p>
    <w:p w14:paraId="44436A31" w14:textId="77777777" w:rsidR="004108C3" w:rsidRPr="008423E4" w:rsidRDefault="004108C3" w:rsidP="00653BA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1BF0" w14:textId="77777777" w:rsidR="00000000" w:rsidRDefault="004B3C4C">
      <w:r>
        <w:separator/>
      </w:r>
    </w:p>
  </w:endnote>
  <w:endnote w:type="continuationSeparator" w:id="0">
    <w:p w14:paraId="7D91CE26" w14:textId="77777777" w:rsidR="00000000" w:rsidRDefault="004B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3EE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365E" w14:paraId="586AF500" w14:textId="77777777" w:rsidTr="009C1E9A">
      <w:trPr>
        <w:cantSplit/>
      </w:trPr>
      <w:tc>
        <w:tcPr>
          <w:tcW w:w="0" w:type="pct"/>
        </w:tcPr>
        <w:p w14:paraId="3010C187" w14:textId="77777777" w:rsidR="00137D90" w:rsidRDefault="00137D90" w:rsidP="009C1E9A">
          <w:pPr>
            <w:pStyle w:val="Footer"/>
            <w:tabs>
              <w:tab w:val="clear" w:pos="8640"/>
              <w:tab w:val="right" w:pos="9360"/>
            </w:tabs>
          </w:pPr>
        </w:p>
      </w:tc>
      <w:tc>
        <w:tcPr>
          <w:tcW w:w="2395" w:type="pct"/>
        </w:tcPr>
        <w:p w14:paraId="0DDD139D" w14:textId="77777777" w:rsidR="00137D90" w:rsidRDefault="00137D90" w:rsidP="009C1E9A">
          <w:pPr>
            <w:pStyle w:val="Footer"/>
            <w:tabs>
              <w:tab w:val="clear" w:pos="8640"/>
              <w:tab w:val="right" w:pos="9360"/>
            </w:tabs>
          </w:pPr>
        </w:p>
        <w:p w14:paraId="75463105" w14:textId="77777777" w:rsidR="001A4310" w:rsidRDefault="001A4310" w:rsidP="009C1E9A">
          <w:pPr>
            <w:pStyle w:val="Footer"/>
            <w:tabs>
              <w:tab w:val="clear" w:pos="8640"/>
              <w:tab w:val="right" w:pos="9360"/>
            </w:tabs>
          </w:pPr>
        </w:p>
        <w:p w14:paraId="20D3757E" w14:textId="77777777" w:rsidR="00137D90" w:rsidRDefault="00137D90" w:rsidP="009C1E9A">
          <w:pPr>
            <w:pStyle w:val="Footer"/>
            <w:tabs>
              <w:tab w:val="clear" w:pos="8640"/>
              <w:tab w:val="right" w:pos="9360"/>
            </w:tabs>
          </w:pPr>
        </w:p>
      </w:tc>
      <w:tc>
        <w:tcPr>
          <w:tcW w:w="2453" w:type="pct"/>
        </w:tcPr>
        <w:p w14:paraId="6B4F332B" w14:textId="77777777" w:rsidR="00137D90" w:rsidRDefault="00137D90" w:rsidP="009C1E9A">
          <w:pPr>
            <w:pStyle w:val="Footer"/>
            <w:tabs>
              <w:tab w:val="clear" w:pos="8640"/>
              <w:tab w:val="right" w:pos="9360"/>
            </w:tabs>
            <w:jc w:val="right"/>
          </w:pPr>
        </w:p>
      </w:tc>
    </w:tr>
    <w:tr w:rsidR="0060365E" w14:paraId="539B7024" w14:textId="77777777" w:rsidTr="009C1E9A">
      <w:trPr>
        <w:cantSplit/>
      </w:trPr>
      <w:tc>
        <w:tcPr>
          <w:tcW w:w="0" w:type="pct"/>
        </w:tcPr>
        <w:p w14:paraId="1A45EEEC" w14:textId="77777777" w:rsidR="00EC379B" w:rsidRDefault="00EC379B" w:rsidP="009C1E9A">
          <w:pPr>
            <w:pStyle w:val="Footer"/>
            <w:tabs>
              <w:tab w:val="clear" w:pos="8640"/>
              <w:tab w:val="right" w:pos="9360"/>
            </w:tabs>
          </w:pPr>
        </w:p>
      </w:tc>
      <w:tc>
        <w:tcPr>
          <w:tcW w:w="2395" w:type="pct"/>
        </w:tcPr>
        <w:p w14:paraId="07EB991F" w14:textId="08ECF478" w:rsidR="00EC379B" w:rsidRPr="009C1E9A" w:rsidRDefault="004B3C4C" w:rsidP="009C1E9A">
          <w:pPr>
            <w:pStyle w:val="Footer"/>
            <w:tabs>
              <w:tab w:val="clear" w:pos="8640"/>
              <w:tab w:val="right" w:pos="9360"/>
            </w:tabs>
            <w:rPr>
              <w:rFonts w:ascii="Shruti" w:hAnsi="Shruti"/>
              <w:sz w:val="22"/>
            </w:rPr>
          </w:pPr>
          <w:r>
            <w:rPr>
              <w:rFonts w:ascii="Shruti" w:hAnsi="Shruti"/>
              <w:sz w:val="22"/>
            </w:rPr>
            <w:t>88R 23603-D</w:t>
          </w:r>
        </w:p>
      </w:tc>
      <w:tc>
        <w:tcPr>
          <w:tcW w:w="2453" w:type="pct"/>
        </w:tcPr>
        <w:p w14:paraId="745DF561" w14:textId="7F9CCAD6" w:rsidR="00EC379B" w:rsidRDefault="004B3C4C" w:rsidP="009C1E9A">
          <w:pPr>
            <w:pStyle w:val="Footer"/>
            <w:tabs>
              <w:tab w:val="clear" w:pos="8640"/>
              <w:tab w:val="right" w:pos="9360"/>
            </w:tabs>
            <w:jc w:val="right"/>
          </w:pPr>
          <w:r>
            <w:fldChar w:fldCharType="begin"/>
          </w:r>
          <w:r>
            <w:instrText xml:space="preserve"> DOCPROPERTY  OTID  \* MERGEFORMAT </w:instrText>
          </w:r>
          <w:r>
            <w:fldChar w:fldCharType="separate"/>
          </w:r>
          <w:r w:rsidR="00653BA2">
            <w:t>23.105.359</w:t>
          </w:r>
          <w:r>
            <w:fldChar w:fldCharType="end"/>
          </w:r>
        </w:p>
      </w:tc>
    </w:tr>
    <w:tr w:rsidR="0060365E" w14:paraId="039E5F76" w14:textId="77777777" w:rsidTr="009C1E9A">
      <w:trPr>
        <w:cantSplit/>
      </w:trPr>
      <w:tc>
        <w:tcPr>
          <w:tcW w:w="0" w:type="pct"/>
        </w:tcPr>
        <w:p w14:paraId="0D29F01F" w14:textId="77777777" w:rsidR="00EC379B" w:rsidRDefault="00EC379B" w:rsidP="009C1E9A">
          <w:pPr>
            <w:pStyle w:val="Footer"/>
            <w:tabs>
              <w:tab w:val="clear" w:pos="4320"/>
              <w:tab w:val="clear" w:pos="8640"/>
              <w:tab w:val="left" w:pos="2865"/>
            </w:tabs>
          </w:pPr>
        </w:p>
      </w:tc>
      <w:tc>
        <w:tcPr>
          <w:tcW w:w="2395" w:type="pct"/>
        </w:tcPr>
        <w:p w14:paraId="1CED7CFA" w14:textId="7F644CDF" w:rsidR="00EC379B" w:rsidRPr="009C1E9A" w:rsidRDefault="004B3C4C" w:rsidP="009C1E9A">
          <w:pPr>
            <w:pStyle w:val="Footer"/>
            <w:tabs>
              <w:tab w:val="clear" w:pos="4320"/>
              <w:tab w:val="clear" w:pos="8640"/>
              <w:tab w:val="left" w:pos="2865"/>
            </w:tabs>
            <w:rPr>
              <w:rFonts w:ascii="Shruti" w:hAnsi="Shruti"/>
              <w:sz w:val="22"/>
            </w:rPr>
          </w:pPr>
          <w:r>
            <w:rPr>
              <w:rFonts w:ascii="Shruti" w:hAnsi="Shruti"/>
              <w:sz w:val="22"/>
            </w:rPr>
            <w:t>Substitute Document Number: 88R 22835</w:t>
          </w:r>
        </w:p>
      </w:tc>
      <w:tc>
        <w:tcPr>
          <w:tcW w:w="2453" w:type="pct"/>
        </w:tcPr>
        <w:p w14:paraId="5DE040A2" w14:textId="77777777" w:rsidR="00EC379B" w:rsidRDefault="00EC379B" w:rsidP="006D504F">
          <w:pPr>
            <w:pStyle w:val="Footer"/>
            <w:rPr>
              <w:rStyle w:val="PageNumber"/>
            </w:rPr>
          </w:pPr>
        </w:p>
        <w:p w14:paraId="7F1C816E" w14:textId="77777777" w:rsidR="00EC379B" w:rsidRDefault="00EC379B" w:rsidP="009C1E9A">
          <w:pPr>
            <w:pStyle w:val="Footer"/>
            <w:tabs>
              <w:tab w:val="clear" w:pos="8640"/>
              <w:tab w:val="right" w:pos="9360"/>
            </w:tabs>
            <w:jc w:val="right"/>
          </w:pPr>
        </w:p>
      </w:tc>
    </w:tr>
    <w:tr w:rsidR="0060365E" w14:paraId="16DC847F" w14:textId="77777777" w:rsidTr="009C1E9A">
      <w:trPr>
        <w:cantSplit/>
        <w:trHeight w:val="323"/>
      </w:trPr>
      <w:tc>
        <w:tcPr>
          <w:tcW w:w="0" w:type="pct"/>
          <w:gridSpan w:val="3"/>
        </w:tcPr>
        <w:p w14:paraId="6DC0E724" w14:textId="77777777" w:rsidR="00EC379B" w:rsidRDefault="004B3C4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702F8A" w14:textId="77777777" w:rsidR="00EC379B" w:rsidRDefault="00EC379B" w:rsidP="009C1E9A">
          <w:pPr>
            <w:pStyle w:val="Footer"/>
            <w:tabs>
              <w:tab w:val="clear" w:pos="8640"/>
              <w:tab w:val="right" w:pos="9360"/>
            </w:tabs>
            <w:jc w:val="center"/>
          </w:pPr>
        </w:p>
      </w:tc>
    </w:tr>
  </w:tbl>
  <w:p w14:paraId="24D3BA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19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8DED" w14:textId="77777777" w:rsidR="00000000" w:rsidRDefault="004B3C4C">
      <w:r>
        <w:separator/>
      </w:r>
    </w:p>
  </w:footnote>
  <w:footnote w:type="continuationSeparator" w:id="0">
    <w:p w14:paraId="2DF74022" w14:textId="77777777" w:rsidR="00000000" w:rsidRDefault="004B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5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95E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DA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6033"/>
    <w:multiLevelType w:val="hybridMultilevel"/>
    <w:tmpl w:val="99700310"/>
    <w:lvl w:ilvl="0" w:tplc="976689A2">
      <w:start w:val="1"/>
      <w:numFmt w:val="bullet"/>
      <w:lvlText w:val=""/>
      <w:lvlJc w:val="left"/>
      <w:pPr>
        <w:tabs>
          <w:tab w:val="num" w:pos="720"/>
        </w:tabs>
        <w:ind w:left="720" w:hanging="360"/>
      </w:pPr>
      <w:rPr>
        <w:rFonts w:ascii="Symbol" w:hAnsi="Symbol" w:hint="default"/>
      </w:rPr>
    </w:lvl>
    <w:lvl w:ilvl="1" w:tplc="B372D3DE" w:tentative="1">
      <w:start w:val="1"/>
      <w:numFmt w:val="bullet"/>
      <w:lvlText w:val="o"/>
      <w:lvlJc w:val="left"/>
      <w:pPr>
        <w:ind w:left="1440" w:hanging="360"/>
      </w:pPr>
      <w:rPr>
        <w:rFonts w:ascii="Courier New" w:hAnsi="Courier New" w:cs="Courier New" w:hint="default"/>
      </w:rPr>
    </w:lvl>
    <w:lvl w:ilvl="2" w:tplc="8504863A" w:tentative="1">
      <w:start w:val="1"/>
      <w:numFmt w:val="bullet"/>
      <w:lvlText w:val=""/>
      <w:lvlJc w:val="left"/>
      <w:pPr>
        <w:ind w:left="2160" w:hanging="360"/>
      </w:pPr>
      <w:rPr>
        <w:rFonts w:ascii="Wingdings" w:hAnsi="Wingdings" w:hint="default"/>
      </w:rPr>
    </w:lvl>
    <w:lvl w:ilvl="3" w:tplc="CB3089DA" w:tentative="1">
      <w:start w:val="1"/>
      <w:numFmt w:val="bullet"/>
      <w:lvlText w:val=""/>
      <w:lvlJc w:val="left"/>
      <w:pPr>
        <w:ind w:left="2880" w:hanging="360"/>
      </w:pPr>
      <w:rPr>
        <w:rFonts w:ascii="Symbol" w:hAnsi="Symbol" w:hint="default"/>
      </w:rPr>
    </w:lvl>
    <w:lvl w:ilvl="4" w:tplc="173A8C94" w:tentative="1">
      <w:start w:val="1"/>
      <w:numFmt w:val="bullet"/>
      <w:lvlText w:val="o"/>
      <w:lvlJc w:val="left"/>
      <w:pPr>
        <w:ind w:left="3600" w:hanging="360"/>
      </w:pPr>
      <w:rPr>
        <w:rFonts w:ascii="Courier New" w:hAnsi="Courier New" w:cs="Courier New" w:hint="default"/>
      </w:rPr>
    </w:lvl>
    <w:lvl w:ilvl="5" w:tplc="908CC76C" w:tentative="1">
      <w:start w:val="1"/>
      <w:numFmt w:val="bullet"/>
      <w:lvlText w:val=""/>
      <w:lvlJc w:val="left"/>
      <w:pPr>
        <w:ind w:left="4320" w:hanging="360"/>
      </w:pPr>
      <w:rPr>
        <w:rFonts w:ascii="Wingdings" w:hAnsi="Wingdings" w:hint="default"/>
      </w:rPr>
    </w:lvl>
    <w:lvl w:ilvl="6" w:tplc="EDA21AD6" w:tentative="1">
      <w:start w:val="1"/>
      <w:numFmt w:val="bullet"/>
      <w:lvlText w:val=""/>
      <w:lvlJc w:val="left"/>
      <w:pPr>
        <w:ind w:left="5040" w:hanging="360"/>
      </w:pPr>
      <w:rPr>
        <w:rFonts w:ascii="Symbol" w:hAnsi="Symbol" w:hint="default"/>
      </w:rPr>
    </w:lvl>
    <w:lvl w:ilvl="7" w:tplc="D3DE9A72" w:tentative="1">
      <w:start w:val="1"/>
      <w:numFmt w:val="bullet"/>
      <w:lvlText w:val="o"/>
      <w:lvlJc w:val="left"/>
      <w:pPr>
        <w:ind w:left="5760" w:hanging="360"/>
      </w:pPr>
      <w:rPr>
        <w:rFonts w:ascii="Courier New" w:hAnsi="Courier New" w:cs="Courier New" w:hint="default"/>
      </w:rPr>
    </w:lvl>
    <w:lvl w:ilvl="8" w:tplc="927635F4" w:tentative="1">
      <w:start w:val="1"/>
      <w:numFmt w:val="bullet"/>
      <w:lvlText w:val=""/>
      <w:lvlJc w:val="left"/>
      <w:pPr>
        <w:ind w:left="6480" w:hanging="360"/>
      </w:pPr>
      <w:rPr>
        <w:rFonts w:ascii="Wingdings" w:hAnsi="Wingdings" w:hint="default"/>
      </w:rPr>
    </w:lvl>
  </w:abstractNum>
  <w:abstractNum w:abstractNumId="1" w15:restartNumberingAfterBreak="0">
    <w:nsid w:val="4348523D"/>
    <w:multiLevelType w:val="hybridMultilevel"/>
    <w:tmpl w:val="8502075A"/>
    <w:lvl w:ilvl="0" w:tplc="1E22860C">
      <w:start w:val="1"/>
      <w:numFmt w:val="bullet"/>
      <w:lvlText w:val=""/>
      <w:lvlJc w:val="left"/>
      <w:pPr>
        <w:tabs>
          <w:tab w:val="num" w:pos="720"/>
        </w:tabs>
        <w:ind w:left="720" w:hanging="360"/>
      </w:pPr>
      <w:rPr>
        <w:rFonts w:ascii="Symbol" w:hAnsi="Symbol" w:hint="default"/>
      </w:rPr>
    </w:lvl>
    <w:lvl w:ilvl="1" w:tplc="1ADA6A44" w:tentative="1">
      <w:start w:val="1"/>
      <w:numFmt w:val="bullet"/>
      <w:lvlText w:val="o"/>
      <w:lvlJc w:val="left"/>
      <w:pPr>
        <w:ind w:left="1440" w:hanging="360"/>
      </w:pPr>
      <w:rPr>
        <w:rFonts w:ascii="Courier New" w:hAnsi="Courier New" w:cs="Courier New" w:hint="default"/>
      </w:rPr>
    </w:lvl>
    <w:lvl w:ilvl="2" w:tplc="34E6BFAA" w:tentative="1">
      <w:start w:val="1"/>
      <w:numFmt w:val="bullet"/>
      <w:lvlText w:val=""/>
      <w:lvlJc w:val="left"/>
      <w:pPr>
        <w:ind w:left="2160" w:hanging="360"/>
      </w:pPr>
      <w:rPr>
        <w:rFonts w:ascii="Wingdings" w:hAnsi="Wingdings" w:hint="default"/>
      </w:rPr>
    </w:lvl>
    <w:lvl w:ilvl="3" w:tplc="902A33C0" w:tentative="1">
      <w:start w:val="1"/>
      <w:numFmt w:val="bullet"/>
      <w:lvlText w:val=""/>
      <w:lvlJc w:val="left"/>
      <w:pPr>
        <w:ind w:left="2880" w:hanging="360"/>
      </w:pPr>
      <w:rPr>
        <w:rFonts w:ascii="Symbol" w:hAnsi="Symbol" w:hint="default"/>
      </w:rPr>
    </w:lvl>
    <w:lvl w:ilvl="4" w:tplc="DBE2F3C0" w:tentative="1">
      <w:start w:val="1"/>
      <w:numFmt w:val="bullet"/>
      <w:lvlText w:val="o"/>
      <w:lvlJc w:val="left"/>
      <w:pPr>
        <w:ind w:left="3600" w:hanging="360"/>
      </w:pPr>
      <w:rPr>
        <w:rFonts w:ascii="Courier New" w:hAnsi="Courier New" w:cs="Courier New" w:hint="default"/>
      </w:rPr>
    </w:lvl>
    <w:lvl w:ilvl="5" w:tplc="97DEA758" w:tentative="1">
      <w:start w:val="1"/>
      <w:numFmt w:val="bullet"/>
      <w:lvlText w:val=""/>
      <w:lvlJc w:val="left"/>
      <w:pPr>
        <w:ind w:left="4320" w:hanging="360"/>
      </w:pPr>
      <w:rPr>
        <w:rFonts w:ascii="Wingdings" w:hAnsi="Wingdings" w:hint="default"/>
      </w:rPr>
    </w:lvl>
    <w:lvl w:ilvl="6" w:tplc="5D8641A6" w:tentative="1">
      <w:start w:val="1"/>
      <w:numFmt w:val="bullet"/>
      <w:lvlText w:val=""/>
      <w:lvlJc w:val="left"/>
      <w:pPr>
        <w:ind w:left="5040" w:hanging="360"/>
      </w:pPr>
      <w:rPr>
        <w:rFonts w:ascii="Symbol" w:hAnsi="Symbol" w:hint="default"/>
      </w:rPr>
    </w:lvl>
    <w:lvl w:ilvl="7" w:tplc="E2A67BB4" w:tentative="1">
      <w:start w:val="1"/>
      <w:numFmt w:val="bullet"/>
      <w:lvlText w:val="o"/>
      <w:lvlJc w:val="left"/>
      <w:pPr>
        <w:ind w:left="5760" w:hanging="360"/>
      </w:pPr>
      <w:rPr>
        <w:rFonts w:ascii="Courier New" w:hAnsi="Courier New" w:cs="Courier New" w:hint="default"/>
      </w:rPr>
    </w:lvl>
    <w:lvl w:ilvl="8" w:tplc="3A926E1A" w:tentative="1">
      <w:start w:val="1"/>
      <w:numFmt w:val="bullet"/>
      <w:lvlText w:val=""/>
      <w:lvlJc w:val="left"/>
      <w:pPr>
        <w:ind w:left="6480" w:hanging="360"/>
      </w:pPr>
      <w:rPr>
        <w:rFonts w:ascii="Wingdings" w:hAnsi="Wingdings" w:hint="default"/>
      </w:rPr>
    </w:lvl>
  </w:abstractNum>
  <w:abstractNum w:abstractNumId="2" w15:restartNumberingAfterBreak="0">
    <w:nsid w:val="491D0F34"/>
    <w:multiLevelType w:val="hybridMultilevel"/>
    <w:tmpl w:val="D60AFCC8"/>
    <w:lvl w:ilvl="0" w:tplc="983CC794">
      <w:start w:val="1"/>
      <w:numFmt w:val="bullet"/>
      <w:lvlText w:val=""/>
      <w:lvlJc w:val="left"/>
      <w:pPr>
        <w:tabs>
          <w:tab w:val="num" w:pos="720"/>
        </w:tabs>
        <w:ind w:left="720" w:hanging="360"/>
      </w:pPr>
      <w:rPr>
        <w:rFonts w:ascii="Symbol" w:hAnsi="Symbol" w:hint="default"/>
      </w:rPr>
    </w:lvl>
    <w:lvl w:ilvl="1" w:tplc="EC38E0BA">
      <w:start w:val="1"/>
      <w:numFmt w:val="bullet"/>
      <w:lvlText w:val="o"/>
      <w:lvlJc w:val="left"/>
      <w:pPr>
        <w:ind w:left="1440" w:hanging="360"/>
      </w:pPr>
      <w:rPr>
        <w:rFonts w:ascii="Courier New" w:hAnsi="Courier New" w:cs="Courier New" w:hint="default"/>
      </w:rPr>
    </w:lvl>
    <w:lvl w:ilvl="2" w:tplc="E992436E" w:tentative="1">
      <w:start w:val="1"/>
      <w:numFmt w:val="bullet"/>
      <w:lvlText w:val=""/>
      <w:lvlJc w:val="left"/>
      <w:pPr>
        <w:ind w:left="2160" w:hanging="360"/>
      </w:pPr>
      <w:rPr>
        <w:rFonts w:ascii="Wingdings" w:hAnsi="Wingdings" w:hint="default"/>
      </w:rPr>
    </w:lvl>
    <w:lvl w:ilvl="3" w:tplc="29FE4344" w:tentative="1">
      <w:start w:val="1"/>
      <w:numFmt w:val="bullet"/>
      <w:lvlText w:val=""/>
      <w:lvlJc w:val="left"/>
      <w:pPr>
        <w:ind w:left="2880" w:hanging="360"/>
      </w:pPr>
      <w:rPr>
        <w:rFonts w:ascii="Symbol" w:hAnsi="Symbol" w:hint="default"/>
      </w:rPr>
    </w:lvl>
    <w:lvl w:ilvl="4" w:tplc="0AEA0888" w:tentative="1">
      <w:start w:val="1"/>
      <w:numFmt w:val="bullet"/>
      <w:lvlText w:val="o"/>
      <w:lvlJc w:val="left"/>
      <w:pPr>
        <w:ind w:left="3600" w:hanging="360"/>
      </w:pPr>
      <w:rPr>
        <w:rFonts w:ascii="Courier New" w:hAnsi="Courier New" w:cs="Courier New" w:hint="default"/>
      </w:rPr>
    </w:lvl>
    <w:lvl w:ilvl="5" w:tplc="85D0F726" w:tentative="1">
      <w:start w:val="1"/>
      <w:numFmt w:val="bullet"/>
      <w:lvlText w:val=""/>
      <w:lvlJc w:val="left"/>
      <w:pPr>
        <w:ind w:left="4320" w:hanging="360"/>
      </w:pPr>
      <w:rPr>
        <w:rFonts w:ascii="Wingdings" w:hAnsi="Wingdings" w:hint="default"/>
      </w:rPr>
    </w:lvl>
    <w:lvl w:ilvl="6" w:tplc="24DC7AC0" w:tentative="1">
      <w:start w:val="1"/>
      <w:numFmt w:val="bullet"/>
      <w:lvlText w:val=""/>
      <w:lvlJc w:val="left"/>
      <w:pPr>
        <w:ind w:left="5040" w:hanging="360"/>
      </w:pPr>
      <w:rPr>
        <w:rFonts w:ascii="Symbol" w:hAnsi="Symbol" w:hint="default"/>
      </w:rPr>
    </w:lvl>
    <w:lvl w:ilvl="7" w:tplc="B7C81EF8" w:tentative="1">
      <w:start w:val="1"/>
      <w:numFmt w:val="bullet"/>
      <w:lvlText w:val="o"/>
      <w:lvlJc w:val="left"/>
      <w:pPr>
        <w:ind w:left="5760" w:hanging="360"/>
      </w:pPr>
      <w:rPr>
        <w:rFonts w:ascii="Courier New" w:hAnsi="Courier New" w:cs="Courier New" w:hint="default"/>
      </w:rPr>
    </w:lvl>
    <w:lvl w:ilvl="8" w:tplc="72BC195C"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C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3C5F"/>
    <w:rsid w:val="00090E6B"/>
    <w:rsid w:val="00091B2C"/>
    <w:rsid w:val="00092ABC"/>
    <w:rsid w:val="00097AAF"/>
    <w:rsid w:val="00097D13"/>
    <w:rsid w:val="000A25A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3A4F"/>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535"/>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80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280"/>
    <w:rsid w:val="003D726D"/>
    <w:rsid w:val="003E0875"/>
    <w:rsid w:val="003E0BB8"/>
    <w:rsid w:val="003E5DD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2D5"/>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61E"/>
    <w:rsid w:val="004977A3"/>
    <w:rsid w:val="00497E69"/>
    <w:rsid w:val="004A03F7"/>
    <w:rsid w:val="004A081C"/>
    <w:rsid w:val="004A123F"/>
    <w:rsid w:val="004A2172"/>
    <w:rsid w:val="004A239F"/>
    <w:rsid w:val="004B138F"/>
    <w:rsid w:val="004B3C4C"/>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08C"/>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144"/>
    <w:rsid w:val="0060365E"/>
    <w:rsid w:val="00603B0F"/>
    <w:rsid w:val="006049F5"/>
    <w:rsid w:val="00605F7B"/>
    <w:rsid w:val="00607E64"/>
    <w:rsid w:val="006106E9"/>
    <w:rsid w:val="0061159E"/>
    <w:rsid w:val="00614633"/>
    <w:rsid w:val="00614BC8"/>
    <w:rsid w:val="006151FB"/>
    <w:rsid w:val="00617411"/>
    <w:rsid w:val="006249CB"/>
    <w:rsid w:val="006272DD"/>
    <w:rsid w:val="00630963"/>
    <w:rsid w:val="00630BA4"/>
    <w:rsid w:val="00631897"/>
    <w:rsid w:val="00632928"/>
    <w:rsid w:val="006330DA"/>
    <w:rsid w:val="00633262"/>
    <w:rsid w:val="00633460"/>
    <w:rsid w:val="006402E7"/>
    <w:rsid w:val="00640CB6"/>
    <w:rsid w:val="00641B42"/>
    <w:rsid w:val="00645750"/>
    <w:rsid w:val="00650692"/>
    <w:rsid w:val="006508D3"/>
    <w:rsid w:val="00650AFA"/>
    <w:rsid w:val="00653BA2"/>
    <w:rsid w:val="00654F63"/>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EC4"/>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E95"/>
    <w:rsid w:val="006D3005"/>
    <w:rsid w:val="006D504F"/>
    <w:rsid w:val="006E0CAC"/>
    <w:rsid w:val="006E1CFB"/>
    <w:rsid w:val="006E1F94"/>
    <w:rsid w:val="006E26C1"/>
    <w:rsid w:val="006E30A8"/>
    <w:rsid w:val="006E45B0"/>
    <w:rsid w:val="006E5692"/>
    <w:rsid w:val="006F15F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1A9"/>
    <w:rsid w:val="008B7785"/>
    <w:rsid w:val="008B79F2"/>
    <w:rsid w:val="008C0809"/>
    <w:rsid w:val="008C132C"/>
    <w:rsid w:val="008C3FD0"/>
    <w:rsid w:val="008C44B4"/>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554"/>
    <w:rsid w:val="00904721"/>
    <w:rsid w:val="00907780"/>
    <w:rsid w:val="00907EDD"/>
    <w:rsid w:val="009107AD"/>
    <w:rsid w:val="00913BD0"/>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541"/>
    <w:rsid w:val="009B69AD"/>
    <w:rsid w:val="009B7806"/>
    <w:rsid w:val="009C05C1"/>
    <w:rsid w:val="009C1E9A"/>
    <w:rsid w:val="009C2A33"/>
    <w:rsid w:val="009C2E49"/>
    <w:rsid w:val="009C36CD"/>
    <w:rsid w:val="009C43A5"/>
    <w:rsid w:val="009C5A1D"/>
    <w:rsid w:val="009C6B08"/>
    <w:rsid w:val="009C70FC"/>
    <w:rsid w:val="009D002B"/>
    <w:rsid w:val="009D334A"/>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18E"/>
    <w:rsid w:val="00AB74E2"/>
    <w:rsid w:val="00AC2703"/>
    <w:rsid w:val="00AC2E9A"/>
    <w:rsid w:val="00AC5396"/>
    <w:rsid w:val="00AC5AAB"/>
    <w:rsid w:val="00AC5AEC"/>
    <w:rsid w:val="00AC5F28"/>
    <w:rsid w:val="00AC6900"/>
    <w:rsid w:val="00AD304B"/>
    <w:rsid w:val="00AD4497"/>
    <w:rsid w:val="00AD626E"/>
    <w:rsid w:val="00AD7780"/>
    <w:rsid w:val="00AE2263"/>
    <w:rsid w:val="00AE248E"/>
    <w:rsid w:val="00AE2D12"/>
    <w:rsid w:val="00AE2F06"/>
    <w:rsid w:val="00AE4F1C"/>
    <w:rsid w:val="00AF1433"/>
    <w:rsid w:val="00AF48B4"/>
    <w:rsid w:val="00AF4923"/>
    <w:rsid w:val="00AF6A9F"/>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EE5"/>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0E23"/>
    <w:rsid w:val="00C91F65"/>
    <w:rsid w:val="00C92310"/>
    <w:rsid w:val="00C95150"/>
    <w:rsid w:val="00C95A73"/>
    <w:rsid w:val="00C95AB6"/>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2E4"/>
    <w:rsid w:val="00CC7131"/>
    <w:rsid w:val="00CC7B9E"/>
    <w:rsid w:val="00CD06CA"/>
    <w:rsid w:val="00CD076A"/>
    <w:rsid w:val="00CD180C"/>
    <w:rsid w:val="00CD3555"/>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752"/>
    <w:rsid w:val="00D22160"/>
    <w:rsid w:val="00D22172"/>
    <w:rsid w:val="00D2301B"/>
    <w:rsid w:val="00D239EE"/>
    <w:rsid w:val="00D30534"/>
    <w:rsid w:val="00D35728"/>
    <w:rsid w:val="00D359A7"/>
    <w:rsid w:val="00D37BCF"/>
    <w:rsid w:val="00D40F93"/>
    <w:rsid w:val="00D42277"/>
    <w:rsid w:val="00D42CE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0A6"/>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A86"/>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0C6"/>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9DE88-CB6C-406F-BB36-CAF2DF37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10A86"/>
    <w:rPr>
      <w:sz w:val="16"/>
      <w:szCs w:val="16"/>
    </w:rPr>
  </w:style>
  <w:style w:type="paragraph" w:styleId="CommentText">
    <w:name w:val="annotation text"/>
    <w:basedOn w:val="Normal"/>
    <w:link w:val="CommentTextChar"/>
    <w:unhideWhenUsed/>
    <w:rsid w:val="00F10A86"/>
    <w:rPr>
      <w:sz w:val="20"/>
      <w:szCs w:val="20"/>
    </w:rPr>
  </w:style>
  <w:style w:type="character" w:customStyle="1" w:styleId="CommentTextChar">
    <w:name w:val="Comment Text Char"/>
    <w:basedOn w:val="DefaultParagraphFont"/>
    <w:link w:val="CommentText"/>
    <w:rsid w:val="00F10A86"/>
  </w:style>
  <w:style w:type="paragraph" w:styleId="CommentSubject">
    <w:name w:val="annotation subject"/>
    <w:basedOn w:val="CommentText"/>
    <w:next w:val="CommentText"/>
    <w:link w:val="CommentSubjectChar"/>
    <w:semiHidden/>
    <w:unhideWhenUsed/>
    <w:rsid w:val="00F10A86"/>
    <w:rPr>
      <w:b/>
      <w:bCs/>
    </w:rPr>
  </w:style>
  <w:style w:type="character" w:customStyle="1" w:styleId="CommentSubjectChar">
    <w:name w:val="Comment Subject Char"/>
    <w:basedOn w:val="CommentTextChar"/>
    <w:link w:val="CommentSubject"/>
    <w:semiHidden/>
    <w:rsid w:val="00F10A86"/>
    <w:rPr>
      <w:b/>
      <w:bCs/>
    </w:rPr>
  </w:style>
  <w:style w:type="paragraph" w:styleId="Revision">
    <w:name w:val="Revision"/>
    <w:hidden/>
    <w:uiPriority w:val="99"/>
    <w:semiHidden/>
    <w:rsid w:val="00AD626E"/>
    <w:rPr>
      <w:sz w:val="24"/>
      <w:szCs w:val="24"/>
    </w:rPr>
  </w:style>
  <w:style w:type="paragraph" w:styleId="ListParagraph">
    <w:name w:val="List Paragraph"/>
    <w:basedOn w:val="Normal"/>
    <w:uiPriority w:val="34"/>
    <w:qFormat/>
    <w:rsid w:val="004332D5"/>
    <w:pPr>
      <w:ind w:left="720"/>
      <w:contextualSpacing/>
    </w:pPr>
  </w:style>
  <w:style w:type="character" w:styleId="Hyperlink">
    <w:name w:val="Hyperlink"/>
    <w:basedOn w:val="DefaultParagraphFont"/>
    <w:unhideWhenUsed/>
    <w:rsid w:val="00AB718E"/>
    <w:rPr>
      <w:color w:val="0000FF" w:themeColor="hyperlink"/>
      <w:u w:val="single"/>
    </w:rPr>
  </w:style>
  <w:style w:type="character" w:customStyle="1" w:styleId="UnresolvedMention1">
    <w:name w:val="Unresolved Mention1"/>
    <w:basedOn w:val="DefaultParagraphFont"/>
    <w:uiPriority w:val="99"/>
    <w:semiHidden/>
    <w:unhideWhenUsed/>
    <w:rsid w:val="00AB718E"/>
    <w:rPr>
      <w:color w:val="605E5C"/>
      <w:shd w:val="clear" w:color="auto" w:fill="E1DFDD"/>
    </w:rPr>
  </w:style>
  <w:style w:type="character" w:styleId="FollowedHyperlink">
    <w:name w:val="FollowedHyperlink"/>
    <w:basedOn w:val="DefaultParagraphFont"/>
    <w:semiHidden/>
    <w:unhideWhenUsed/>
    <w:rsid w:val="00AC2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3824</Characters>
  <Application>Microsoft Office Word</Application>
  <DocSecurity>4</DocSecurity>
  <Lines>97</Lines>
  <Paragraphs>38</Paragraphs>
  <ScaleCrop>false</ScaleCrop>
  <HeadingPairs>
    <vt:vector size="2" baseType="variant">
      <vt:variant>
        <vt:lpstr>Title</vt:lpstr>
      </vt:variant>
      <vt:variant>
        <vt:i4>1</vt:i4>
      </vt:variant>
    </vt:vector>
  </HeadingPairs>
  <TitlesOfParts>
    <vt:vector size="1" baseType="lpstr">
      <vt:lpstr>BA - HB02305 (Committee Report (Substituted))</vt:lpstr>
    </vt:vector>
  </TitlesOfParts>
  <Company>State of Texas</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23603</dc:subject>
  <dc:creator>State of Texas</dc:creator>
  <dc:description>HB 2305 by Sherman, Sr.-(H)Corrections (Substitute Document Number: 88R 22835)</dc:description>
  <cp:lastModifiedBy>Matthew Lee</cp:lastModifiedBy>
  <cp:revision>2</cp:revision>
  <cp:lastPrinted>2003-11-26T17:21:00Z</cp:lastPrinted>
  <dcterms:created xsi:type="dcterms:W3CDTF">2023-04-19T22:44:00Z</dcterms:created>
  <dcterms:modified xsi:type="dcterms:W3CDTF">2023-04-19T22:44:00Z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23.105.359</vt:lpwstr>
  </property>
</Properties>
</file>