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27903" w14:paraId="6C172945" w14:textId="77777777" w:rsidTr="00345119">
        <w:tc>
          <w:tcPr>
            <w:tcW w:w="9576" w:type="dxa"/>
            <w:noWrap/>
          </w:tcPr>
          <w:p w14:paraId="5DF07075" w14:textId="77777777" w:rsidR="008423E4" w:rsidRPr="0022177D" w:rsidRDefault="00D8493E" w:rsidP="00C94C2E">
            <w:pPr>
              <w:pStyle w:val="Heading1"/>
            </w:pPr>
            <w:r w:rsidRPr="00631897">
              <w:t>BILL ANALYSIS</w:t>
            </w:r>
          </w:p>
        </w:tc>
      </w:tr>
    </w:tbl>
    <w:p w14:paraId="4F972411" w14:textId="77777777" w:rsidR="008423E4" w:rsidRPr="0022177D" w:rsidRDefault="008423E4" w:rsidP="00C94C2E">
      <w:pPr>
        <w:jc w:val="center"/>
      </w:pPr>
    </w:p>
    <w:p w14:paraId="744F7E82" w14:textId="77777777" w:rsidR="008423E4" w:rsidRPr="00B31F0E" w:rsidRDefault="008423E4" w:rsidP="00C94C2E"/>
    <w:p w14:paraId="28B5355E" w14:textId="77777777" w:rsidR="008423E4" w:rsidRPr="00742794" w:rsidRDefault="008423E4" w:rsidP="00C94C2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7903" w14:paraId="3A424996" w14:textId="77777777" w:rsidTr="00345119">
        <w:tc>
          <w:tcPr>
            <w:tcW w:w="9576" w:type="dxa"/>
          </w:tcPr>
          <w:p w14:paraId="4ACD1F9B" w14:textId="5E5CC490" w:rsidR="008423E4" w:rsidRPr="00861995" w:rsidRDefault="00D8493E" w:rsidP="00C94C2E">
            <w:pPr>
              <w:jc w:val="right"/>
            </w:pPr>
            <w:r>
              <w:t>C.S.H.B. 2308</w:t>
            </w:r>
          </w:p>
        </w:tc>
      </w:tr>
      <w:tr w:rsidR="00E27903" w14:paraId="59D32980" w14:textId="77777777" w:rsidTr="00345119">
        <w:tc>
          <w:tcPr>
            <w:tcW w:w="9576" w:type="dxa"/>
          </w:tcPr>
          <w:p w14:paraId="1C0DD5E3" w14:textId="61C3E47C" w:rsidR="008423E4" w:rsidRPr="00861995" w:rsidRDefault="00D8493E" w:rsidP="00C94C2E">
            <w:pPr>
              <w:jc w:val="right"/>
            </w:pPr>
            <w:r>
              <w:t xml:space="preserve">By: </w:t>
            </w:r>
            <w:r w:rsidR="006A42DD">
              <w:t>Ashby</w:t>
            </w:r>
          </w:p>
        </w:tc>
      </w:tr>
      <w:tr w:rsidR="00E27903" w14:paraId="399578EF" w14:textId="77777777" w:rsidTr="00345119">
        <w:tc>
          <w:tcPr>
            <w:tcW w:w="9576" w:type="dxa"/>
          </w:tcPr>
          <w:p w14:paraId="14EBEAA5" w14:textId="0C7A8FA3" w:rsidR="008423E4" w:rsidRPr="00861995" w:rsidRDefault="00D8493E" w:rsidP="00C94C2E">
            <w:pPr>
              <w:jc w:val="right"/>
            </w:pPr>
            <w:r>
              <w:t>Agriculture &amp; Livestock</w:t>
            </w:r>
          </w:p>
        </w:tc>
      </w:tr>
      <w:tr w:rsidR="00E27903" w14:paraId="4C2E8F00" w14:textId="77777777" w:rsidTr="00345119">
        <w:tc>
          <w:tcPr>
            <w:tcW w:w="9576" w:type="dxa"/>
          </w:tcPr>
          <w:p w14:paraId="364D3D1F" w14:textId="51BD280E" w:rsidR="008423E4" w:rsidRDefault="00D8493E" w:rsidP="00C94C2E">
            <w:pPr>
              <w:jc w:val="right"/>
            </w:pPr>
            <w:r>
              <w:t>Committee Report (Substituted)</w:t>
            </w:r>
          </w:p>
        </w:tc>
      </w:tr>
    </w:tbl>
    <w:p w14:paraId="3130CA71" w14:textId="77777777" w:rsidR="008423E4" w:rsidRDefault="008423E4" w:rsidP="00C94C2E">
      <w:pPr>
        <w:tabs>
          <w:tab w:val="right" w:pos="9360"/>
        </w:tabs>
      </w:pPr>
    </w:p>
    <w:p w14:paraId="37D329EB" w14:textId="77777777" w:rsidR="008423E4" w:rsidRDefault="008423E4" w:rsidP="00C94C2E"/>
    <w:p w14:paraId="3AFBE02F" w14:textId="77777777" w:rsidR="008423E4" w:rsidRDefault="008423E4" w:rsidP="00C94C2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27903" w14:paraId="58F82065" w14:textId="77777777" w:rsidTr="00345119">
        <w:tc>
          <w:tcPr>
            <w:tcW w:w="9576" w:type="dxa"/>
          </w:tcPr>
          <w:p w14:paraId="6BD42D4F" w14:textId="77777777" w:rsidR="008423E4" w:rsidRPr="00A8133F" w:rsidRDefault="00D8493E" w:rsidP="00C94C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DB1F6B" w14:textId="77777777" w:rsidR="008423E4" w:rsidRDefault="008423E4" w:rsidP="00C94C2E"/>
          <w:p w14:paraId="02511F1F" w14:textId="3B9F7CD4" w:rsidR="008423E4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36E1C">
              <w:t xml:space="preserve">The Texas Right to Farm Law has not been updated in over a decade. Interested parties contend that revisions need to be </w:t>
            </w:r>
            <w:r w:rsidRPr="00236E1C">
              <w:t>made to the statute to protect rural Texas farmers and ranchers, as well as the state's food supply, in the 21st century.</w:t>
            </w:r>
            <w:r>
              <w:t xml:space="preserve"> </w:t>
            </w:r>
            <w:r w:rsidRPr="00236E1C">
              <w:t>Under the current Right to Farm Law, agricultural operations are protected from nuisance actions. Interested parties note that current</w:t>
            </w:r>
            <w:r w:rsidRPr="00236E1C">
              <w:t xml:space="preserve"> protections have fallen short with respect to other legal actions, creating a loophole that has been used to challenge and shut down working agricultural operations.</w:t>
            </w:r>
            <w:r>
              <w:t xml:space="preserve"> </w:t>
            </w:r>
            <w:r w:rsidR="009D31C7">
              <w:t>C.S.H.B.</w:t>
            </w:r>
            <w:r w:rsidR="00025CC8">
              <w:t> </w:t>
            </w:r>
            <w:r w:rsidR="009D31C7">
              <w:t>2308</w:t>
            </w:r>
            <w:r w:rsidRPr="00236E1C">
              <w:t xml:space="preserve"> closes a statutory loophole, making the </w:t>
            </w:r>
            <w:r w:rsidR="0028172B">
              <w:t>l</w:t>
            </w:r>
            <w:r w:rsidRPr="00236E1C">
              <w:t>egislature's intent clear by addin</w:t>
            </w:r>
            <w:r w:rsidRPr="00236E1C">
              <w:t>g protections for agricultural operations and related agricultural services. The bill updates definitions to clarify that traditional agricultural operations and services, such as raising hay and owning a veterinary clinic, are agricultural and therefore p</w:t>
            </w:r>
            <w:r w:rsidRPr="00236E1C">
              <w:t>rotected under the Right to Farm Law.</w:t>
            </w:r>
          </w:p>
          <w:p w14:paraId="7D23942B" w14:textId="77777777" w:rsidR="008423E4" w:rsidRPr="00E26B13" w:rsidRDefault="008423E4" w:rsidP="00C94C2E">
            <w:pPr>
              <w:rPr>
                <w:b/>
              </w:rPr>
            </w:pPr>
          </w:p>
        </w:tc>
      </w:tr>
      <w:tr w:rsidR="00E27903" w14:paraId="3BBA4462" w14:textId="77777777" w:rsidTr="00345119">
        <w:tc>
          <w:tcPr>
            <w:tcW w:w="9576" w:type="dxa"/>
          </w:tcPr>
          <w:p w14:paraId="41FFAD51" w14:textId="77777777" w:rsidR="0017725B" w:rsidRDefault="00D8493E" w:rsidP="00C94C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A8C21D" w14:textId="77777777" w:rsidR="0017725B" w:rsidRDefault="0017725B" w:rsidP="00C94C2E">
            <w:pPr>
              <w:rPr>
                <w:b/>
                <w:u w:val="single"/>
              </w:rPr>
            </w:pPr>
          </w:p>
          <w:p w14:paraId="036E193C" w14:textId="31CACDB1" w:rsidR="00BB4759" w:rsidRPr="00BB4759" w:rsidRDefault="00D8493E" w:rsidP="00C94C2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14:paraId="1953B7AE" w14:textId="77777777" w:rsidR="0017725B" w:rsidRPr="0017725B" w:rsidRDefault="0017725B" w:rsidP="00C94C2E">
            <w:pPr>
              <w:rPr>
                <w:b/>
                <w:u w:val="single"/>
              </w:rPr>
            </w:pPr>
          </w:p>
        </w:tc>
      </w:tr>
      <w:tr w:rsidR="00E27903" w14:paraId="634FD776" w14:textId="77777777" w:rsidTr="00345119">
        <w:tc>
          <w:tcPr>
            <w:tcW w:w="9576" w:type="dxa"/>
          </w:tcPr>
          <w:p w14:paraId="73DE49F3" w14:textId="77777777" w:rsidR="008423E4" w:rsidRPr="00A8133F" w:rsidRDefault="00D8493E" w:rsidP="00C94C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1C7F420" w14:textId="77777777" w:rsidR="008423E4" w:rsidRDefault="008423E4" w:rsidP="00C94C2E"/>
          <w:p w14:paraId="182F3C65" w14:textId="672CA310" w:rsidR="00BB4759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</w:t>
            </w:r>
            <w:r>
              <w:t>nstitution.</w:t>
            </w:r>
          </w:p>
          <w:p w14:paraId="5072E88A" w14:textId="77777777" w:rsidR="008423E4" w:rsidRPr="00E21FDC" w:rsidRDefault="008423E4" w:rsidP="00C94C2E">
            <w:pPr>
              <w:rPr>
                <w:b/>
              </w:rPr>
            </w:pPr>
          </w:p>
        </w:tc>
      </w:tr>
      <w:tr w:rsidR="00E27903" w14:paraId="472A7D2B" w14:textId="77777777" w:rsidTr="00345119">
        <w:tc>
          <w:tcPr>
            <w:tcW w:w="9576" w:type="dxa"/>
          </w:tcPr>
          <w:p w14:paraId="0909C833" w14:textId="77777777" w:rsidR="008423E4" w:rsidRPr="00A8133F" w:rsidRDefault="00D8493E" w:rsidP="00C94C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520971" w14:textId="77777777" w:rsidR="008423E4" w:rsidRDefault="008423E4" w:rsidP="00C94C2E"/>
          <w:p w14:paraId="3E59D565" w14:textId="3D4D65FA" w:rsidR="007A5F2F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2308</w:t>
            </w:r>
            <w:r w:rsidR="002C72A1">
              <w:t xml:space="preserve"> amends the </w:t>
            </w:r>
            <w:r w:rsidR="002C72A1" w:rsidRPr="002C72A1">
              <w:t>Agriculture Cod</w:t>
            </w:r>
            <w:r w:rsidR="002C72A1">
              <w:t>e</w:t>
            </w:r>
            <w:r w:rsidR="0054189C">
              <w:t xml:space="preserve">, with respect to the effect of nuisance actions and governmental requirements on preexisting agricultural operations, to </w:t>
            </w:r>
            <w:r>
              <w:t>prohibit an action to restrain an agricultural operation from being brought against an agricultural operation that has lawfully been i</w:t>
            </w:r>
            <w:r>
              <w:t>n operation for one year or more prior to the date on which the action is brought and to update related specifications currently applicable only to nuisance actions.</w:t>
            </w:r>
          </w:p>
          <w:p w14:paraId="1DD677D0" w14:textId="77777777" w:rsidR="007A5F2F" w:rsidRDefault="007A5F2F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1730E2" w14:textId="5D4E0B19" w:rsidR="0054189C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2308</w:t>
            </w:r>
            <w:r w:rsidR="007A5F2F">
              <w:t xml:space="preserve"> makes</w:t>
            </w:r>
            <w:r>
              <w:t xml:space="preserve"> the following</w:t>
            </w:r>
            <w:r w:rsidR="00230581">
              <w:t xml:space="preserve"> changes to </w:t>
            </w:r>
            <w:r w:rsidR="00CF78FF">
              <w:t xml:space="preserve">the </w:t>
            </w:r>
            <w:r w:rsidR="00230581">
              <w:t>general policy regarding such actions and to</w:t>
            </w:r>
            <w:r w:rsidR="00CF78FF">
              <w:t xml:space="preserve"> the</w:t>
            </w:r>
            <w:r w:rsidR="00230581">
              <w:t xml:space="preserve"> </w:t>
            </w:r>
            <w:r w:rsidR="00CF78FF">
              <w:t xml:space="preserve">specific </w:t>
            </w:r>
            <w:r w:rsidR="00230581">
              <w:t>activities comprising an agricultural operation</w:t>
            </w:r>
            <w:r>
              <w:t>:</w:t>
            </w:r>
          </w:p>
          <w:p w14:paraId="2615052F" w14:textId="2A85209B" w:rsidR="00B3420C" w:rsidRDefault="00D8493E" w:rsidP="00C94C2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specif</w:t>
            </w:r>
            <w:r w:rsidR="00230581">
              <w:t>ies</w:t>
            </w:r>
            <w:r>
              <w:t xml:space="preserve"> that </w:t>
            </w:r>
            <w:r w:rsidR="00EB6A5B">
              <w:t>food security is essential</w:t>
            </w:r>
            <w:r>
              <w:t xml:space="preserve"> to the state's policy for the development and improvement of its agricultural land</w:t>
            </w:r>
            <w:r w:rsidR="00083869">
              <w:t>;</w:t>
            </w:r>
          </w:p>
          <w:p w14:paraId="61173CFA" w14:textId="03605B3A" w:rsidR="006E0222" w:rsidRDefault="00D8493E" w:rsidP="00C94C2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revise</w:t>
            </w:r>
            <w:r w:rsidR="00230581">
              <w:t>s</w:t>
            </w:r>
            <w:r>
              <w:t xml:space="preserve"> the</w:t>
            </w:r>
            <w:r w:rsidR="00177549">
              <w:t xml:space="preserve"> purpose of that policy </w:t>
            </w:r>
            <w:r>
              <w:t xml:space="preserve">to include </w:t>
            </w:r>
            <w:r w:rsidR="00177549">
              <w:t>the reduction of the</w:t>
            </w:r>
            <w:r w:rsidR="00EB6A5B" w:rsidRPr="00EB6A5B">
              <w:t xml:space="preserve"> loss</w:t>
            </w:r>
            <w:r w:rsidR="00FC3084">
              <w:t xml:space="preserve"> to the state</w:t>
            </w:r>
            <w:r w:rsidR="00EB6A5B" w:rsidRPr="00EB6A5B">
              <w:t xml:space="preserve"> of </w:t>
            </w:r>
            <w:r w:rsidR="00FC3084">
              <w:t xml:space="preserve">its </w:t>
            </w:r>
            <w:r w:rsidR="00EB6A5B" w:rsidRPr="00EB6A5B">
              <w:t>agricultural resources by limiting the circumstances under which agricultural operations may be legally threatened, subject to suit, or otherwise declared to be a nuisance</w:t>
            </w:r>
            <w:r>
              <w:t>;</w:t>
            </w:r>
          </w:p>
          <w:p w14:paraId="07D20A26" w14:textId="71C30419" w:rsidR="00453A05" w:rsidRDefault="00D8493E" w:rsidP="00C94C2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include</w:t>
            </w:r>
            <w:r w:rsidR="00230581">
              <w:t>s</w:t>
            </w:r>
            <w:r>
              <w:t xml:space="preserve"> producing </w:t>
            </w:r>
            <w:r w:rsidR="00D833B9">
              <w:t xml:space="preserve">hay and other forages as </w:t>
            </w:r>
            <w:r>
              <w:t xml:space="preserve">an </w:t>
            </w:r>
            <w:r w:rsidR="00D833B9">
              <w:t>agricultural operation</w:t>
            </w:r>
            <w:r>
              <w:t>; and</w:t>
            </w:r>
          </w:p>
          <w:p w14:paraId="19778981" w14:textId="0475FC96" w:rsidR="00453A05" w:rsidRDefault="00D8493E" w:rsidP="00C94C2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specif</w:t>
            </w:r>
            <w:r w:rsidR="00230581">
              <w:t>ies</w:t>
            </w:r>
            <w:r>
              <w:t xml:space="preserve"> that veterinary services are included as an agricultural operation in raising or keeping livestock or poultry</w:t>
            </w:r>
            <w:r w:rsidR="00083869">
              <w:t>.</w:t>
            </w:r>
          </w:p>
          <w:p w14:paraId="014127BF" w14:textId="5BF67872" w:rsidR="009C36CD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  <w:r w:rsidR="00D833B9">
              <w:t xml:space="preserve"> </w:t>
            </w:r>
          </w:p>
          <w:p w14:paraId="63D76667" w14:textId="59806B7D" w:rsidR="00D833B9" w:rsidRDefault="00D833B9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5E7137" w14:textId="160CB1C6" w:rsidR="00083869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2308 </w:t>
            </w:r>
            <w:r w:rsidR="00443B57">
              <w:t>makes</w:t>
            </w:r>
            <w:r w:rsidR="002E32AF">
              <w:t xml:space="preserve"> the following</w:t>
            </w:r>
            <w:r w:rsidR="00443B57">
              <w:t xml:space="preserve"> changes</w:t>
            </w:r>
            <w:r w:rsidR="002950AF">
              <w:t xml:space="preserve"> to the nuisance provisions</w:t>
            </w:r>
            <w:r w:rsidR="00230581">
              <w:t xml:space="preserve"> with respect to an established date of operation, nuisance actions and other actions brought against an operation, </w:t>
            </w:r>
            <w:r w:rsidR="00E23645">
              <w:t>liability of a person bringing an applicable action, and agricultural improvements not expressly prohibited</w:t>
            </w:r>
            <w:r w:rsidR="002950AF">
              <w:t>:</w:t>
            </w:r>
          </w:p>
          <w:p w14:paraId="11D732A6" w14:textId="33FEBE5F" w:rsidR="00B2186B" w:rsidRDefault="00D8493E" w:rsidP="00C94C2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respect to the established</w:t>
            </w:r>
            <w:r>
              <w:t xml:space="preserve"> date of operation of an agricultural operation:</w:t>
            </w:r>
          </w:p>
          <w:p w14:paraId="479C74A8" w14:textId="000CBDCB" w:rsidR="004E0F94" w:rsidRDefault="00D8493E" w:rsidP="00C94C2E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that such date is the date on which an operation commen</w:t>
            </w:r>
            <w:r w:rsidR="00FC3084">
              <w:t>c</w:t>
            </w:r>
            <w:r>
              <w:t>ed agricultural operations; and</w:t>
            </w:r>
          </w:p>
          <w:p w14:paraId="6E7BBA47" w14:textId="1CF6E113" w:rsidR="002E32AF" w:rsidRDefault="00D8493E" w:rsidP="00C94C2E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removes </w:t>
            </w:r>
            <w:r w:rsidR="00F82A62">
              <w:t xml:space="preserve">the </w:t>
            </w:r>
            <w:r>
              <w:t xml:space="preserve">provisions </w:t>
            </w:r>
            <w:r w:rsidR="004E0F94">
              <w:t xml:space="preserve">specifying </w:t>
            </w:r>
            <w:r w:rsidR="00B82394">
              <w:t>that</w:t>
            </w:r>
            <w:r w:rsidRPr="00D833B9">
              <w:t xml:space="preserve"> the established date of operation</w:t>
            </w:r>
            <w:r w:rsidR="00B82394">
              <w:t xml:space="preserve"> </w:t>
            </w:r>
            <w:r w:rsidRPr="00D833B9">
              <w:t>for each expansion</w:t>
            </w:r>
            <w:r w:rsidR="00B82394">
              <w:t xml:space="preserve">, if </w:t>
            </w:r>
            <w:r w:rsidR="00B82394" w:rsidRPr="00B82394">
              <w:t xml:space="preserve">the physical facilities of </w:t>
            </w:r>
            <w:r w:rsidR="00B82394">
              <w:t>an</w:t>
            </w:r>
            <w:r w:rsidR="00B82394" w:rsidRPr="00B82394">
              <w:t xml:space="preserve"> agricultural operation are subsequently expanded,</w:t>
            </w:r>
            <w:r w:rsidR="00B82394">
              <w:t xml:space="preserve"> </w:t>
            </w:r>
            <w:r w:rsidRPr="00D833B9">
              <w:t>is a separate and independent established date of operation established as of the date of commencement of the expanded operation and</w:t>
            </w:r>
            <w:r w:rsidR="004E0F94">
              <w:t xml:space="preserve"> specifying that</w:t>
            </w:r>
            <w:r w:rsidRPr="00D833B9">
              <w:t xml:space="preserve"> the commencement of expanded operation do</w:t>
            </w:r>
            <w:r w:rsidRPr="00D833B9">
              <w:t>es not divest the agricultural operation of a previously established date of operation</w:t>
            </w:r>
            <w:r>
              <w:t>;</w:t>
            </w:r>
          </w:p>
          <w:p w14:paraId="44A3CEF4" w14:textId="788977DE" w:rsidR="001B3A31" w:rsidRDefault="00D8493E" w:rsidP="00C94C2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with respect to bringing a nuisance </w:t>
            </w:r>
            <w:r w:rsidR="001D1FDF">
              <w:t xml:space="preserve">or other </w:t>
            </w:r>
            <w:r>
              <w:t>action:</w:t>
            </w:r>
          </w:p>
          <w:p w14:paraId="6925E093" w14:textId="28FA321B" w:rsidR="009F4DEE" w:rsidRDefault="00D8493E" w:rsidP="00C94C2E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prohibits an</w:t>
            </w:r>
            <w:r w:rsidR="00FA5EA5">
              <w:t xml:space="preserve"> action to restrain an agricultural operation </w:t>
            </w:r>
            <w:r>
              <w:t>from being</w:t>
            </w:r>
            <w:r w:rsidR="00FA5EA5" w:rsidRPr="00FA5EA5">
              <w:t xml:space="preserve"> brought against an agricultural operation that has lawfully been in operation</w:t>
            </w:r>
            <w:r w:rsidR="00A04BFA">
              <w:t xml:space="preserve"> and substantially unchanged</w:t>
            </w:r>
            <w:r w:rsidR="00FA5EA5" w:rsidRPr="00FA5EA5">
              <w:t xml:space="preserve"> for one year or more prior to the date on which the action is brought</w:t>
            </w:r>
            <w:r w:rsidR="00364B86">
              <w:t>;</w:t>
            </w:r>
          </w:p>
          <w:p w14:paraId="7110B300" w14:textId="5D01DCA0" w:rsidR="002E32AF" w:rsidRDefault="00D8493E" w:rsidP="00C94C2E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</w:t>
            </w:r>
            <w:r w:rsidRPr="00FA5EA5">
              <w:t xml:space="preserve"> person who brings a nuisance action or other action to restrain an </w:t>
            </w:r>
            <w:r w:rsidRPr="00FA5EA5">
              <w:t xml:space="preserve">agricultural operation that is not prohibited </w:t>
            </w:r>
            <w:r>
              <w:t>to</w:t>
            </w:r>
            <w:r w:rsidRPr="00FA5EA5">
              <w:t xml:space="preserve"> establish each element of the action by clear and convincing evidence</w:t>
            </w:r>
            <w:r>
              <w:t>;</w:t>
            </w:r>
          </w:p>
          <w:p w14:paraId="333DB064" w14:textId="347536E0" w:rsidR="00E11638" w:rsidRDefault="00D8493E" w:rsidP="00C94C2E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establishes that provisions relating to </w:t>
            </w:r>
            <w:r w:rsidR="00364B86">
              <w:t xml:space="preserve">the prohibition of </w:t>
            </w:r>
            <w:r>
              <w:t>nuisance or other actions do not restrict or impede the authority of a politi</w:t>
            </w:r>
            <w:r>
              <w:t>cal subdivision</w:t>
            </w:r>
            <w:r w:rsidR="0083313D">
              <w:t xml:space="preserve"> </w:t>
            </w:r>
            <w:r>
              <w:t>to enforce state law</w:t>
            </w:r>
            <w:r w:rsidR="0083313D">
              <w:t xml:space="preserve"> </w:t>
            </w:r>
            <w:r w:rsidR="001D1FDF">
              <w:t>and</w:t>
            </w:r>
            <w:r w:rsidR="003B60DB">
              <w:t xml:space="preserve"> </w:t>
            </w:r>
            <w:r>
              <w:t xml:space="preserve">includes an enforcement action by the Texas Commission on </w:t>
            </w:r>
            <w:r w:rsidR="00BF11CA">
              <w:t>E</w:t>
            </w:r>
            <w:r>
              <w:t xml:space="preserve">nvironmental </w:t>
            </w:r>
            <w:r w:rsidR="00BF11CA">
              <w:t>Q</w:t>
            </w:r>
            <w:r>
              <w:t>uality among the actions those provisions do not restrict or impede; and</w:t>
            </w:r>
          </w:p>
          <w:p w14:paraId="154FE3B2" w14:textId="791B1331" w:rsidR="00E11638" w:rsidRDefault="00D8493E" w:rsidP="00C94C2E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clarifies that </w:t>
            </w:r>
            <w:r w:rsidRPr="00BF11CA">
              <w:t xml:space="preserve">a substantial change to an agricultural </w:t>
            </w:r>
            <w:r w:rsidRPr="00BF11CA">
              <w:t>operation means a material alteration to the operation of or type of production at an agricultural operation that is substantially inconsistent with the operational practices since the established date of operation</w:t>
            </w:r>
            <w:r>
              <w:t>;</w:t>
            </w:r>
          </w:p>
          <w:p w14:paraId="2D50FA50" w14:textId="1DEF227E" w:rsidR="00651706" w:rsidRDefault="00D8493E" w:rsidP="00C94C2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respect to liability of a person to</w:t>
            </w:r>
            <w:r>
              <w:t xml:space="preserve"> the agricultural operator that currently applies</w:t>
            </w:r>
            <w:r w:rsidR="00B66742">
              <w:t xml:space="preserve"> only</w:t>
            </w:r>
            <w:r>
              <w:t xml:space="preserve"> to a nuisance action:</w:t>
            </w:r>
          </w:p>
          <w:p w14:paraId="156A73BE" w14:textId="65209D74" w:rsidR="00E23645" w:rsidRDefault="00D8493E" w:rsidP="00C94C2E">
            <w:pPr>
              <w:pStyle w:val="Header"/>
              <w:numPr>
                <w:ilvl w:val="1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extends the same liability to a person who brings an action </w:t>
            </w:r>
            <w:r w:rsidRPr="00B32A54">
              <w:t>to restrain an agricultural operation</w:t>
            </w:r>
            <w:r>
              <w:t xml:space="preserve"> </w:t>
            </w:r>
            <w:r w:rsidRPr="00B32A54">
              <w:t xml:space="preserve">and seeks damages or injunctive relief against </w:t>
            </w:r>
            <w:r>
              <w:t>an</w:t>
            </w:r>
            <w:r w:rsidRPr="00B32A54">
              <w:t xml:space="preserve"> operation that has existed for </w:t>
            </w:r>
            <w:r w:rsidRPr="00B32A54">
              <w:t>one year or more prior to the date that the action is instituted or who violates the</w:t>
            </w:r>
            <w:r>
              <w:t xml:space="preserve"> bill's requirements for bringing either type of action; and</w:t>
            </w:r>
            <w:r w:rsidRPr="00B32A54">
              <w:t xml:space="preserve"> </w:t>
            </w:r>
          </w:p>
          <w:p w14:paraId="346532CE" w14:textId="5D3A01F8" w:rsidR="00DB0EEF" w:rsidRDefault="00D8493E" w:rsidP="00C94C2E">
            <w:pPr>
              <w:pStyle w:val="Header"/>
              <w:numPr>
                <w:ilvl w:val="1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specifies that liability for a person bringing </w:t>
            </w:r>
            <w:r w:rsidR="00B66742">
              <w:t xml:space="preserve">either </w:t>
            </w:r>
            <w:r>
              <w:t>a nuisance action or other action to restrain an agricul</w:t>
            </w:r>
            <w:r>
              <w:t>tural operation includes any other damages found by the trier of fact</w:t>
            </w:r>
            <w:r w:rsidR="00B66742">
              <w:t>; and</w:t>
            </w:r>
          </w:p>
          <w:p w14:paraId="61B2163D" w14:textId="60DEDE7B" w:rsidR="00B66742" w:rsidRDefault="00D8493E" w:rsidP="00C94C2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respect to agricultural improvements</w:t>
            </w:r>
            <w:r w:rsidR="002C0490">
              <w:t xml:space="preserve"> </w:t>
            </w:r>
            <w:r w:rsidR="001A5E83">
              <w:t>whose construction</w:t>
            </w:r>
            <w:r w:rsidR="007C777A">
              <w:t xml:space="preserve"> or maintenance under current law</w:t>
            </w:r>
            <w:r w:rsidR="001A5E83">
              <w:t xml:space="preserve"> is</w:t>
            </w:r>
            <w:r w:rsidR="002C0490">
              <w:t xml:space="preserve"> not expressly prohibited by statute or a governmental requirement and</w:t>
            </w:r>
            <w:r>
              <w:t xml:space="preserve"> for which an o</w:t>
            </w:r>
            <w:r>
              <w:t>wner, lessee, or occupant of agricultural land is not liable to the state, a governmental unit, or the owner, lessee, or occupant of other agricultural land</w:t>
            </w:r>
            <w:r w:rsidR="002C0490">
              <w:t>:</w:t>
            </w:r>
          </w:p>
          <w:p w14:paraId="1FC0F660" w14:textId="4493194C" w:rsidR="00F97761" w:rsidRDefault="00D8493E" w:rsidP="00C94C2E">
            <w:pPr>
              <w:pStyle w:val="Head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adds a specification that</w:t>
            </w:r>
            <w:r w:rsidR="002C0490">
              <w:t xml:space="preserve"> </w:t>
            </w:r>
            <w:r>
              <w:t>such a</w:t>
            </w:r>
            <w:r w:rsidR="002C0490">
              <w:t xml:space="preserve"> governmental requirement</w:t>
            </w:r>
            <w:r>
              <w:t xml:space="preserve"> is a requirement adopted </w:t>
            </w:r>
            <w:r w:rsidR="006E2043">
              <w:t xml:space="preserve">in accordance with provisions prohibiting </w:t>
            </w:r>
            <w:r>
              <w:t>nuisance and other actions</w:t>
            </w:r>
            <w:r w:rsidR="006E2043">
              <w:t xml:space="preserve"> from being brought</w:t>
            </w:r>
            <w:r>
              <w:t>;</w:t>
            </w:r>
            <w:r w:rsidR="006B4293">
              <w:t xml:space="preserve"> </w:t>
            </w:r>
          </w:p>
          <w:p w14:paraId="4BDE19E3" w14:textId="104E1D26" w:rsidR="002C0490" w:rsidRDefault="00D8493E" w:rsidP="00C94C2E">
            <w:pPr>
              <w:pStyle w:val="Head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adds the specification that such an improvement is not otherwise subject to suit or injunction, in addition to not constituting a nuisance</w:t>
            </w:r>
            <w:r w:rsidR="00BA7215">
              <w:t xml:space="preserve"> under current law; and</w:t>
            </w:r>
          </w:p>
          <w:p w14:paraId="4C007BFB" w14:textId="628F5D46" w:rsidR="002C0490" w:rsidRDefault="00D8493E" w:rsidP="00C94C2E">
            <w:pPr>
              <w:pStyle w:val="Head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removes the specifi</w:t>
            </w:r>
            <w:r>
              <w:t>cation</w:t>
            </w:r>
            <w:r w:rsidR="006B4293">
              <w:t>s</w:t>
            </w:r>
            <w:r>
              <w:t xml:space="preserve"> that the provision does not apply to an improvement that obstructs the flow of water, light, or air to other land</w:t>
            </w:r>
            <w:r w:rsidR="006B4293">
              <w:t xml:space="preserve"> and does not prevent the enforcement of a governmental requirement to protect health or public safety and replaces it with a provision establishing instead that the provision does not prevent the enforcement of a state or federal statute</w:t>
            </w:r>
            <w:r w:rsidR="00BA7215">
              <w:t>.</w:t>
            </w:r>
          </w:p>
          <w:p w14:paraId="7C990131" w14:textId="77777777" w:rsidR="00BA7215" w:rsidRDefault="00BA7215" w:rsidP="00C94C2E">
            <w:pPr>
              <w:pStyle w:val="Header"/>
              <w:jc w:val="both"/>
            </w:pPr>
          </w:p>
          <w:p w14:paraId="1301A4DE" w14:textId="691AB3EB" w:rsidR="0020167D" w:rsidRDefault="00D8493E" w:rsidP="00C94C2E">
            <w:pPr>
              <w:pStyle w:val="Header"/>
              <w:jc w:val="both"/>
            </w:pPr>
            <w:r>
              <w:t xml:space="preserve">C.S.H.B. 2308 </w:t>
            </w:r>
            <w:r w:rsidR="00E23645">
              <w:t xml:space="preserve">revises the definition of "agricultural land" for purposes of these provisions to </w:t>
            </w:r>
            <w:r>
              <w:t xml:space="preserve">include any </w:t>
            </w:r>
            <w:r w:rsidRPr="0020167D">
              <w:t>land on which agricultural operations exis</w:t>
            </w:r>
            <w:r w:rsidRPr="0020167D">
              <w:t>t or may take place</w:t>
            </w:r>
            <w:r w:rsidR="00CF78FF">
              <w:t>,</w:t>
            </w:r>
            <w:r>
              <w:t xml:space="preserve"> includes arenas </w:t>
            </w:r>
            <w:r w:rsidR="00E23645">
              <w:t>in the definition of</w:t>
            </w:r>
            <w:r w:rsidR="00BB4759">
              <w:t xml:space="preserve"> </w:t>
            </w:r>
            <w:r w:rsidR="00B5737B">
              <w:t>"</w:t>
            </w:r>
            <w:r w:rsidR="00BB4759">
              <w:t>agricultural improvement</w:t>
            </w:r>
            <w:r w:rsidR="00B5737B">
              <w:t xml:space="preserve">," </w:t>
            </w:r>
            <w:r w:rsidR="00CF78FF">
              <w:t xml:space="preserve">and specifies that the storage or maintenance of </w:t>
            </w:r>
            <w:r w:rsidR="00BB4759">
              <w:t xml:space="preserve">implements </w:t>
            </w:r>
            <w:r w:rsidR="00CF78FF">
              <w:t>that are considered to be agricultural improvements includes implements used for management functions or equipment</w:t>
            </w:r>
            <w:r w:rsidR="00BB4759">
              <w:t xml:space="preserve"> necessary to carry out agricultural operations among such purposes.</w:t>
            </w:r>
          </w:p>
          <w:p w14:paraId="29311884" w14:textId="5B8640C4" w:rsidR="00BB4759" w:rsidRDefault="00BB4759" w:rsidP="00C94C2E">
            <w:pPr>
              <w:pStyle w:val="Header"/>
              <w:jc w:val="both"/>
            </w:pPr>
          </w:p>
          <w:p w14:paraId="486F7D9D" w14:textId="7C0B9769" w:rsidR="00BB4759" w:rsidRDefault="00D8493E" w:rsidP="00C94C2E">
            <w:pPr>
              <w:pStyle w:val="Header"/>
              <w:jc w:val="both"/>
            </w:pPr>
            <w:r>
              <w:t xml:space="preserve">C.S.H.B. 2308 establishes that provisions relating to the </w:t>
            </w:r>
            <w:r w:rsidRPr="00BB4759">
              <w:t>effect of nuisance actions</w:t>
            </w:r>
            <w:r w:rsidRPr="00BB4759">
              <w:t xml:space="preserve"> and governmental requirements on preexisting agricultural operations</w:t>
            </w:r>
            <w:r>
              <w:t xml:space="preserve"> prevail if there is a conflict between such provisions and other law.</w:t>
            </w:r>
          </w:p>
          <w:p w14:paraId="0D066771" w14:textId="49BB03A3" w:rsidR="00BC46E4" w:rsidRDefault="00BC46E4" w:rsidP="00C94C2E">
            <w:pPr>
              <w:pStyle w:val="Header"/>
              <w:jc w:val="both"/>
            </w:pPr>
          </w:p>
          <w:p w14:paraId="268756CA" w14:textId="6A509D34" w:rsidR="00BC46E4" w:rsidRPr="009C36CD" w:rsidRDefault="00D8493E" w:rsidP="00C94C2E">
            <w:pPr>
              <w:pStyle w:val="Header"/>
              <w:jc w:val="both"/>
            </w:pPr>
            <w:r>
              <w:t xml:space="preserve">C.S.H.B. 2308 applies </w:t>
            </w:r>
            <w:r w:rsidRPr="00BC46E4">
              <w:t>only to a cause of action that accrues on or after the</w:t>
            </w:r>
            <w:r>
              <w:t xml:space="preserve"> </w:t>
            </w:r>
            <w:r w:rsidR="00B5737B">
              <w:t>bill's</w:t>
            </w:r>
            <w:r w:rsidR="00B5737B" w:rsidRPr="00BC46E4">
              <w:t xml:space="preserve"> </w:t>
            </w:r>
            <w:r w:rsidRPr="00BC46E4">
              <w:t>effective date</w:t>
            </w:r>
            <w:r>
              <w:t>.</w:t>
            </w:r>
          </w:p>
          <w:p w14:paraId="3B9E68E2" w14:textId="77777777" w:rsidR="008423E4" w:rsidRPr="00835628" w:rsidRDefault="008423E4" w:rsidP="00C94C2E">
            <w:pPr>
              <w:rPr>
                <w:b/>
              </w:rPr>
            </w:pPr>
          </w:p>
        </w:tc>
      </w:tr>
      <w:tr w:rsidR="00E27903" w14:paraId="1BD06F0A" w14:textId="77777777" w:rsidTr="00345119">
        <w:tc>
          <w:tcPr>
            <w:tcW w:w="9576" w:type="dxa"/>
          </w:tcPr>
          <w:p w14:paraId="4410C279" w14:textId="77777777" w:rsidR="008423E4" w:rsidRPr="00A8133F" w:rsidRDefault="00D8493E" w:rsidP="00C94C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016C5B" w14:textId="77777777" w:rsidR="008423E4" w:rsidRDefault="008423E4" w:rsidP="00C94C2E"/>
          <w:p w14:paraId="1BA6B514" w14:textId="5F9EC3AF" w:rsidR="008423E4" w:rsidRPr="003624F2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57D87D2" w14:textId="77777777" w:rsidR="008423E4" w:rsidRPr="00233FDB" w:rsidRDefault="008423E4" w:rsidP="00C94C2E">
            <w:pPr>
              <w:rPr>
                <w:b/>
              </w:rPr>
            </w:pPr>
          </w:p>
        </w:tc>
      </w:tr>
      <w:tr w:rsidR="00E27903" w14:paraId="06353991" w14:textId="77777777" w:rsidTr="00345119">
        <w:tc>
          <w:tcPr>
            <w:tcW w:w="9576" w:type="dxa"/>
          </w:tcPr>
          <w:p w14:paraId="36BCBC5E" w14:textId="77777777" w:rsidR="006A42DD" w:rsidRDefault="00D8493E" w:rsidP="00C94C2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537AF0BB" w14:textId="77777777" w:rsidR="00236E1C" w:rsidRDefault="00236E1C" w:rsidP="00C94C2E">
            <w:pPr>
              <w:jc w:val="both"/>
            </w:pPr>
          </w:p>
          <w:p w14:paraId="6BA62816" w14:textId="77354367" w:rsidR="00236E1C" w:rsidRDefault="00D8493E" w:rsidP="00C94C2E">
            <w:pPr>
              <w:jc w:val="both"/>
            </w:pPr>
            <w:r>
              <w:t xml:space="preserve">While </w:t>
            </w:r>
            <w:r w:rsidR="009D31C7">
              <w:t>C.S.H.B. 2308</w:t>
            </w:r>
            <w:r>
              <w:t xml:space="preserve"> may differ from the introduced in minor or nonsubstantive ways, the following summarizes the substantial differences between the introduced and committee sub</w:t>
            </w:r>
            <w:r>
              <w:t>stitute versions of the bill.</w:t>
            </w:r>
          </w:p>
          <w:p w14:paraId="0C91CAA2" w14:textId="77777777" w:rsidR="00A44F04" w:rsidRDefault="00A44F04" w:rsidP="00C94C2E">
            <w:pPr>
              <w:jc w:val="both"/>
            </w:pPr>
          </w:p>
          <w:p w14:paraId="62A250C7" w14:textId="55B10328" w:rsidR="008D63B1" w:rsidRDefault="00D8493E" w:rsidP="00C94C2E">
            <w:pPr>
              <w:jc w:val="both"/>
            </w:pPr>
            <w:r>
              <w:t xml:space="preserve">The substitute </w:t>
            </w:r>
            <w:r w:rsidR="007630A6">
              <w:t xml:space="preserve">clarifies, but the introduced did not, </w:t>
            </w:r>
            <w:r>
              <w:t>that the prohibition</w:t>
            </w:r>
            <w:r w:rsidR="007630A6">
              <w:t xml:space="preserve"> against bringing an action against an agricultural operation that has lawfully been in operation for one year or more prior to the date on which the action is brought</w:t>
            </w:r>
            <w:r>
              <w:t xml:space="preserve"> is applicable if </w:t>
            </w:r>
            <w:r w:rsidR="004F54EA">
              <w:t>such an</w:t>
            </w:r>
            <w:r>
              <w:t xml:space="preserve"> operation has both been in operation and </w:t>
            </w:r>
            <w:r w:rsidR="004F54EA">
              <w:t xml:space="preserve">been </w:t>
            </w:r>
            <w:r w:rsidR="00A44F04" w:rsidRPr="0042428A">
              <w:t>substantially unchanged for one year or more prior to the date on which the action is brought</w:t>
            </w:r>
            <w:r w:rsidR="007630A6">
              <w:t>. Moreover, the substitute</w:t>
            </w:r>
            <w:r w:rsidR="00AF72C8">
              <w:t xml:space="preserve"> includes a provision </w:t>
            </w:r>
            <w:r w:rsidR="009B73AA">
              <w:t>specifying</w:t>
            </w:r>
            <w:r w:rsidR="00D64969">
              <w:t xml:space="preserve"> what</w:t>
            </w:r>
            <w:r w:rsidR="00AF72C8">
              <w:t xml:space="preserve"> a substantial change means for purposes of th</w:t>
            </w:r>
            <w:r w:rsidR="007630A6">
              <w:t>e prohibition.</w:t>
            </w:r>
          </w:p>
          <w:p w14:paraId="63321139" w14:textId="19A5D9A9" w:rsidR="00B274E7" w:rsidRDefault="00B274E7" w:rsidP="00C94C2E">
            <w:pPr>
              <w:jc w:val="both"/>
            </w:pPr>
          </w:p>
          <w:p w14:paraId="23BC7EF5" w14:textId="6C0B2FEA" w:rsidR="000C01D5" w:rsidRDefault="00D8493E" w:rsidP="00C94C2E">
            <w:pPr>
              <w:jc w:val="both"/>
            </w:pPr>
            <w:r>
              <w:t xml:space="preserve">Both the introduced and the substitute remove the provision establishing that the prohibition against bringing an action against an agricultural operation does not restrict or impede the authority </w:t>
            </w:r>
            <w:r w:rsidR="00380858">
              <w:t>of a municipality to enforce state law. However, t</w:t>
            </w:r>
            <w:r w:rsidR="008D63B1">
              <w:t>he substitute includes</w:t>
            </w:r>
            <w:r w:rsidR="007B7392">
              <w:t xml:space="preserve"> a clarification not in the introduced providing that</w:t>
            </w:r>
            <w:r w:rsidR="008D63B1">
              <w:t xml:space="preserve"> </w:t>
            </w:r>
            <w:r w:rsidR="008D63B1" w:rsidRPr="008D63B1">
              <w:t>the authority of a</w:t>
            </w:r>
            <w:r w:rsidR="00380858">
              <w:t>ny</w:t>
            </w:r>
            <w:r w:rsidR="008D63B1" w:rsidRPr="008D63B1">
              <w:t xml:space="preserve"> political subdivision</w:t>
            </w:r>
            <w:r w:rsidR="009B73AA">
              <w:t xml:space="preserve">, </w:t>
            </w:r>
            <w:r w:rsidR="00C72F4C">
              <w:t>instead of</w:t>
            </w:r>
            <w:r w:rsidR="009B73AA">
              <w:t xml:space="preserve"> only a municipality as in current law,</w:t>
            </w:r>
            <w:r w:rsidR="008D63B1" w:rsidRPr="008D63B1">
              <w:t xml:space="preserve"> to enforce state law</w:t>
            </w:r>
            <w:r w:rsidR="007B7392">
              <w:t xml:space="preserve"> is not restricted or impeded by </w:t>
            </w:r>
            <w:r w:rsidR="00BF4BEC">
              <w:t>the prohibition</w:t>
            </w:r>
            <w:r w:rsidR="00380858">
              <w:t>.</w:t>
            </w:r>
            <w:r w:rsidR="00BF4BEC">
              <w:t xml:space="preserve"> The substitute includes a provision not in the introduced establishing that the prohibition also does not restrict or impede </w:t>
            </w:r>
            <w:r w:rsidRPr="000C01D5">
              <w:t>an enforcement action by the Texas Commission on Environmental Quality</w:t>
            </w:r>
            <w:r w:rsidR="007B7392">
              <w:t>.</w:t>
            </w:r>
            <w:r w:rsidRPr="000C01D5">
              <w:t xml:space="preserve"> </w:t>
            </w:r>
          </w:p>
          <w:p w14:paraId="5725AC65" w14:textId="3A1A58E1" w:rsidR="00A44F04" w:rsidRDefault="00A44F04" w:rsidP="00C94C2E">
            <w:pPr>
              <w:jc w:val="both"/>
            </w:pPr>
          </w:p>
          <w:p w14:paraId="5615D7E6" w14:textId="218D7041" w:rsidR="00D50A3B" w:rsidRDefault="00D8493E" w:rsidP="00C94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Both the introduced and the substitute revise provisions w</w:t>
            </w:r>
            <w:r w:rsidR="006E2043">
              <w:t xml:space="preserve">ith respect to agricultural improvements whose construction </w:t>
            </w:r>
            <w:r w:rsidR="007C777A">
              <w:t xml:space="preserve">or maintenance </w:t>
            </w:r>
            <w:r w:rsidR="006E2043">
              <w:t>under current law is not expressly prohibited by statute or a governmental requirement and for which an owner, lessee, or occupant of agricultural land is not liable to the state, a governmental unit, or the owner, lessee, or occupant of other agricultural land</w:t>
            </w:r>
            <w:r>
              <w:t>. However, while t</w:t>
            </w:r>
            <w:r w:rsidR="007C777A">
              <w:t>he introduced removed language</w:t>
            </w:r>
            <w:r>
              <w:t xml:space="preserve"> in current law</w:t>
            </w:r>
            <w:r w:rsidR="007C777A">
              <w:t xml:space="preserve"> referencing improvements not expressly prohibited by a governmental requirement</w:t>
            </w:r>
            <w:r>
              <w:t xml:space="preserve">, the substitute retains the reference in current law to </w:t>
            </w:r>
            <w:r>
              <w:t>those improvements and specifies that such a governmental requirement is a requirement that is adopted in accordance with provisions prohibiting nuisance and other actions from being brought.</w:t>
            </w:r>
          </w:p>
          <w:p w14:paraId="2DE77833" w14:textId="77777777" w:rsidR="00A44F04" w:rsidRDefault="00A44F04" w:rsidP="00C94C2E">
            <w:pPr>
              <w:jc w:val="both"/>
            </w:pPr>
          </w:p>
          <w:p w14:paraId="660C7018" w14:textId="605CD265" w:rsidR="00236E1C" w:rsidRPr="00236E1C" w:rsidRDefault="00236E1C" w:rsidP="00C94C2E">
            <w:pPr>
              <w:jc w:val="both"/>
            </w:pPr>
          </w:p>
        </w:tc>
      </w:tr>
      <w:tr w:rsidR="00E27903" w14:paraId="1C97CEA5" w14:textId="77777777" w:rsidTr="00345119">
        <w:tc>
          <w:tcPr>
            <w:tcW w:w="9576" w:type="dxa"/>
          </w:tcPr>
          <w:p w14:paraId="42323E96" w14:textId="77777777" w:rsidR="006A42DD" w:rsidRPr="009C1E9A" w:rsidRDefault="006A42DD" w:rsidP="00C94C2E">
            <w:pPr>
              <w:rPr>
                <w:b/>
                <w:u w:val="single"/>
              </w:rPr>
            </w:pPr>
          </w:p>
        </w:tc>
      </w:tr>
      <w:tr w:rsidR="00E27903" w14:paraId="754507A0" w14:textId="77777777" w:rsidTr="00345119">
        <w:tc>
          <w:tcPr>
            <w:tcW w:w="9576" w:type="dxa"/>
          </w:tcPr>
          <w:p w14:paraId="40C233AB" w14:textId="77777777" w:rsidR="006A42DD" w:rsidRPr="006A42DD" w:rsidRDefault="006A42DD" w:rsidP="00C94C2E">
            <w:pPr>
              <w:jc w:val="both"/>
            </w:pPr>
          </w:p>
        </w:tc>
      </w:tr>
    </w:tbl>
    <w:p w14:paraId="26408DC1" w14:textId="77777777" w:rsidR="008423E4" w:rsidRPr="00BE0E75" w:rsidRDefault="008423E4" w:rsidP="00C94C2E">
      <w:pPr>
        <w:jc w:val="both"/>
        <w:rPr>
          <w:rFonts w:ascii="Arial" w:hAnsi="Arial"/>
          <w:sz w:val="16"/>
          <w:szCs w:val="16"/>
        </w:rPr>
      </w:pPr>
    </w:p>
    <w:p w14:paraId="158AE4A8" w14:textId="77777777" w:rsidR="004108C3" w:rsidRPr="008423E4" w:rsidRDefault="004108C3" w:rsidP="00C94C2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EFC9" w14:textId="77777777" w:rsidR="00000000" w:rsidRDefault="00D8493E">
      <w:r>
        <w:separator/>
      </w:r>
    </w:p>
  </w:endnote>
  <w:endnote w:type="continuationSeparator" w:id="0">
    <w:p w14:paraId="79DDECDE" w14:textId="77777777" w:rsidR="00000000" w:rsidRDefault="00D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C917" w14:textId="77777777" w:rsidR="003241B5" w:rsidRDefault="00324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7903" w14:paraId="65D03928" w14:textId="77777777" w:rsidTr="009C1E9A">
      <w:trPr>
        <w:cantSplit/>
      </w:trPr>
      <w:tc>
        <w:tcPr>
          <w:tcW w:w="0" w:type="pct"/>
        </w:tcPr>
        <w:p w14:paraId="7F7237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C19D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CBFCE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B1DC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6D5E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903" w14:paraId="6BD2042D" w14:textId="77777777" w:rsidTr="009C1E9A">
      <w:trPr>
        <w:cantSplit/>
      </w:trPr>
      <w:tc>
        <w:tcPr>
          <w:tcW w:w="0" w:type="pct"/>
        </w:tcPr>
        <w:p w14:paraId="002DA4C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161ED5" w14:textId="5A1A95F2" w:rsidR="00EC379B" w:rsidRPr="009C1E9A" w:rsidRDefault="00D849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20973-D</w:t>
          </w:r>
        </w:p>
      </w:tc>
      <w:tc>
        <w:tcPr>
          <w:tcW w:w="2453" w:type="pct"/>
        </w:tcPr>
        <w:p w14:paraId="55A9BD5A" w14:textId="7084A143" w:rsidR="00EC379B" w:rsidRDefault="00D8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47582">
            <w:t>23.89.260</w:t>
          </w:r>
          <w:r>
            <w:fldChar w:fldCharType="end"/>
          </w:r>
        </w:p>
      </w:tc>
    </w:tr>
    <w:tr w:rsidR="00E27903" w14:paraId="5596C0ED" w14:textId="77777777" w:rsidTr="009C1E9A">
      <w:trPr>
        <w:cantSplit/>
      </w:trPr>
      <w:tc>
        <w:tcPr>
          <w:tcW w:w="0" w:type="pct"/>
        </w:tcPr>
        <w:p w14:paraId="72F7346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A2F9AA" w14:textId="54E50ED2" w:rsidR="00EC379B" w:rsidRPr="009C1E9A" w:rsidRDefault="00D849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19774</w:t>
          </w:r>
        </w:p>
      </w:tc>
      <w:tc>
        <w:tcPr>
          <w:tcW w:w="2453" w:type="pct"/>
        </w:tcPr>
        <w:p w14:paraId="5750AD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2D15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903" w14:paraId="093EFBF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742668" w14:textId="77777777" w:rsidR="00EC379B" w:rsidRDefault="00D849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F223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54B8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FE43" w14:textId="77777777" w:rsidR="003241B5" w:rsidRDefault="00324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66AA" w14:textId="77777777" w:rsidR="00000000" w:rsidRDefault="00D8493E">
      <w:r>
        <w:separator/>
      </w:r>
    </w:p>
  </w:footnote>
  <w:footnote w:type="continuationSeparator" w:id="0">
    <w:p w14:paraId="59223D48" w14:textId="77777777" w:rsidR="00000000" w:rsidRDefault="00D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C196" w14:textId="77777777" w:rsidR="003241B5" w:rsidRDefault="00324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FA8" w14:textId="77777777" w:rsidR="003241B5" w:rsidRDefault="00324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0041" w14:textId="77777777" w:rsidR="003241B5" w:rsidRDefault="00324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743"/>
    <w:multiLevelType w:val="hybridMultilevel"/>
    <w:tmpl w:val="CEB822AA"/>
    <w:lvl w:ilvl="0" w:tplc="397843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6A70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8A7A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348A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FCC0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9AA7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FED4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E863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D8AC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62B24"/>
    <w:multiLevelType w:val="hybridMultilevel"/>
    <w:tmpl w:val="5DC828B6"/>
    <w:lvl w:ilvl="0" w:tplc="D9F2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A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67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D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B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EB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0C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00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80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C51"/>
    <w:multiLevelType w:val="hybridMultilevel"/>
    <w:tmpl w:val="7E760B2C"/>
    <w:lvl w:ilvl="0" w:tplc="A12A6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A5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E1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8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4D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9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6C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E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6FC"/>
    <w:multiLevelType w:val="hybridMultilevel"/>
    <w:tmpl w:val="B9C440A4"/>
    <w:lvl w:ilvl="0" w:tplc="D3A0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83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F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B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A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8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45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0E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5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10FB"/>
    <w:multiLevelType w:val="hybridMultilevel"/>
    <w:tmpl w:val="2464805C"/>
    <w:lvl w:ilvl="0" w:tplc="61660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C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E8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6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01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A3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84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9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63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FA3"/>
    <w:multiLevelType w:val="hybridMultilevel"/>
    <w:tmpl w:val="4BD6A22C"/>
    <w:lvl w:ilvl="0" w:tplc="1BB2F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D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00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5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04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6F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2F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8A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31E9"/>
    <w:multiLevelType w:val="hybridMultilevel"/>
    <w:tmpl w:val="0B2259CE"/>
    <w:lvl w:ilvl="0" w:tplc="20DAC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A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C2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E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6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E2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2C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26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EB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0316"/>
    <w:multiLevelType w:val="hybridMultilevel"/>
    <w:tmpl w:val="04662130"/>
    <w:lvl w:ilvl="0" w:tplc="8E26B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8F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4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8D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0A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41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E3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CC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4F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65D"/>
    <w:multiLevelType w:val="hybridMultilevel"/>
    <w:tmpl w:val="CCBE092E"/>
    <w:lvl w:ilvl="0" w:tplc="737E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24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07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4A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E1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2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0E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E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0F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262"/>
    <w:multiLevelType w:val="hybridMultilevel"/>
    <w:tmpl w:val="8606F628"/>
    <w:lvl w:ilvl="0" w:tplc="9EA22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9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4D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1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C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80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06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6C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29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81D7B"/>
    <w:multiLevelType w:val="hybridMultilevel"/>
    <w:tmpl w:val="3F28578E"/>
    <w:lvl w:ilvl="0" w:tplc="CA5A6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4B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B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E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E3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2D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2F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4D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2A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1C"/>
    <w:rsid w:val="00000A70"/>
    <w:rsid w:val="000032B8"/>
    <w:rsid w:val="00003B06"/>
    <w:rsid w:val="000054B9"/>
    <w:rsid w:val="00007461"/>
    <w:rsid w:val="0001117E"/>
    <w:rsid w:val="0001125F"/>
    <w:rsid w:val="0001338E"/>
    <w:rsid w:val="00013C8A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CC8"/>
    <w:rsid w:val="00026E5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869"/>
    <w:rsid w:val="00090E6B"/>
    <w:rsid w:val="00091B2C"/>
    <w:rsid w:val="00092ABC"/>
    <w:rsid w:val="00096F2B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01D5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AE1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49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1B74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E83"/>
    <w:rsid w:val="001B053A"/>
    <w:rsid w:val="001B26D8"/>
    <w:rsid w:val="001B3A31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FDF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67D"/>
    <w:rsid w:val="00206AC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0581"/>
    <w:rsid w:val="0023341D"/>
    <w:rsid w:val="002338DA"/>
    <w:rsid w:val="00233D66"/>
    <w:rsid w:val="00233FDB"/>
    <w:rsid w:val="00234F58"/>
    <w:rsid w:val="0023507D"/>
    <w:rsid w:val="00236E1C"/>
    <w:rsid w:val="0024077A"/>
    <w:rsid w:val="00241EC1"/>
    <w:rsid w:val="002431DA"/>
    <w:rsid w:val="0024691D"/>
    <w:rsid w:val="00247D27"/>
    <w:rsid w:val="00250A50"/>
    <w:rsid w:val="00251ED5"/>
    <w:rsid w:val="00254BC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72B"/>
    <w:rsid w:val="00281883"/>
    <w:rsid w:val="002874E3"/>
    <w:rsid w:val="00287656"/>
    <w:rsid w:val="00291518"/>
    <w:rsid w:val="002950A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6BA"/>
    <w:rsid w:val="002B7BA7"/>
    <w:rsid w:val="002C0490"/>
    <w:rsid w:val="002C1C17"/>
    <w:rsid w:val="002C3203"/>
    <w:rsid w:val="002C3B07"/>
    <w:rsid w:val="002C532B"/>
    <w:rsid w:val="002C5713"/>
    <w:rsid w:val="002C72A1"/>
    <w:rsid w:val="002D05CC"/>
    <w:rsid w:val="002D305A"/>
    <w:rsid w:val="002E21B8"/>
    <w:rsid w:val="002E32AF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1B5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B86"/>
    <w:rsid w:val="00370155"/>
    <w:rsid w:val="003712D5"/>
    <w:rsid w:val="003747DF"/>
    <w:rsid w:val="00377E3D"/>
    <w:rsid w:val="00380858"/>
    <w:rsid w:val="003847E8"/>
    <w:rsid w:val="0038731D"/>
    <w:rsid w:val="00387B60"/>
    <w:rsid w:val="00390098"/>
    <w:rsid w:val="00392DA1"/>
    <w:rsid w:val="00393718"/>
    <w:rsid w:val="00393EC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0DB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2428A"/>
    <w:rsid w:val="0043190E"/>
    <w:rsid w:val="004324E9"/>
    <w:rsid w:val="004350F3"/>
    <w:rsid w:val="00436980"/>
    <w:rsid w:val="00441016"/>
    <w:rsid w:val="00441F2F"/>
    <w:rsid w:val="0044228B"/>
    <w:rsid w:val="00443B57"/>
    <w:rsid w:val="00447018"/>
    <w:rsid w:val="00447582"/>
    <w:rsid w:val="00450561"/>
    <w:rsid w:val="00450A40"/>
    <w:rsid w:val="00451D7C"/>
    <w:rsid w:val="00452FC3"/>
    <w:rsid w:val="00453A05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642"/>
    <w:rsid w:val="004E0E60"/>
    <w:rsid w:val="004E0F94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4EA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89C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87C64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2D14"/>
    <w:rsid w:val="005C4C6F"/>
    <w:rsid w:val="005C5127"/>
    <w:rsid w:val="005C7CCB"/>
    <w:rsid w:val="005D1444"/>
    <w:rsid w:val="005D3B9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706"/>
    <w:rsid w:val="0066169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3214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42DD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293"/>
    <w:rsid w:val="006B54C5"/>
    <w:rsid w:val="006B5E80"/>
    <w:rsid w:val="006B7A2E"/>
    <w:rsid w:val="006C4709"/>
    <w:rsid w:val="006D3005"/>
    <w:rsid w:val="006D504F"/>
    <w:rsid w:val="006E0222"/>
    <w:rsid w:val="006E0CAC"/>
    <w:rsid w:val="006E1CFB"/>
    <w:rsid w:val="006E1F94"/>
    <w:rsid w:val="006E2043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5E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32"/>
    <w:rsid w:val="00755C7B"/>
    <w:rsid w:val="007630A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F2F"/>
    <w:rsid w:val="007A7EC1"/>
    <w:rsid w:val="007B4FCA"/>
    <w:rsid w:val="007B7392"/>
    <w:rsid w:val="007B7B85"/>
    <w:rsid w:val="007C462E"/>
    <w:rsid w:val="007C496B"/>
    <w:rsid w:val="007C6803"/>
    <w:rsid w:val="007C777A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13D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678E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96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3B45"/>
    <w:rsid w:val="008D58F9"/>
    <w:rsid w:val="008D63B1"/>
    <w:rsid w:val="008D7427"/>
    <w:rsid w:val="008E3338"/>
    <w:rsid w:val="008E47BE"/>
    <w:rsid w:val="008E568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41C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3AA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1C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DEE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4BF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F04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7E1"/>
    <w:rsid w:val="00A61C27"/>
    <w:rsid w:val="00A62638"/>
    <w:rsid w:val="00A6344D"/>
    <w:rsid w:val="00A644B8"/>
    <w:rsid w:val="00A67A4E"/>
    <w:rsid w:val="00A70E35"/>
    <w:rsid w:val="00A720DC"/>
    <w:rsid w:val="00A803CF"/>
    <w:rsid w:val="00A8133F"/>
    <w:rsid w:val="00A82CB4"/>
    <w:rsid w:val="00A837A8"/>
    <w:rsid w:val="00A83C36"/>
    <w:rsid w:val="00A87218"/>
    <w:rsid w:val="00A932BB"/>
    <w:rsid w:val="00A93579"/>
    <w:rsid w:val="00A93934"/>
    <w:rsid w:val="00A95D51"/>
    <w:rsid w:val="00AA18AE"/>
    <w:rsid w:val="00AA228B"/>
    <w:rsid w:val="00AA528A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2C8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186B"/>
    <w:rsid w:val="00B233BB"/>
    <w:rsid w:val="00B25612"/>
    <w:rsid w:val="00B26437"/>
    <w:rsid w:val="00B2678E"/>
    <w:rsid w:val="00B274E7"/>
    <w:rsid w:val="00B30647"/>
    <w:rsid w:val="00B31F0E"/>
    <w:rsid w:val="00B32A54"/>
    <w:rsid w:val="00B3420C"/>
    <w:rsid w:val="00B34F25"/>
    <w:rsid w:val="00B43672"/>
    <w:rsid w:val="00B473D8"/>
    <w:rsid w:val="00B5165A"/>
    <w:rsid w:val="00B524C1"/>
    <w:rsid w:val="00B52C8D"/>
    <w:rsid w:val="00B564BF"/>
    <w:rsid w:val="00B5737B"/>
    <w:rsid w:val="00B6104E"/>
    <w:rsid w:val="00B610C7"/>
    <w:rsid w:val="00B62106"/>
    <w:rsid w:val="00B626A8"/>
    <w:rsid w:val="00B65695"/>
    <w:rsid w:val="00B66526"/>
    <w:rsid w:val="00B665A3"/>
    <w:rsid w:val="00B66742"/>
    <w:rsid w:val="00B73BB4"/>
    <w:rsid w:val="00B80532"/>
    <w:rsid w:val="00B82039"/>
    <w:rsid w:val="00B82394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215"/>
    <w:rsid w:val="00BB4759"/>
    <w:rsid w:val="00BB5B36"/>
    <w:rsid w:val="00BC027B"/>
    <w:rsid w:val="00BC30A6"/>
    <w:rsid w:val="00BC3ED3"/>
    <w:rsid w:val="00BC3EF6"/>
    <w:rsid w:val="00BC46E4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1CA"/>
    <w:rsid w:val="00BF4949"/>
    <w:rsid w:val="00BF4BEC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F4C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C2E"/>
    <w:rsid w:val="00C95150"/>
    <w:rsid w:val="00C95A73"/>
    <w:rsid w:val="00CA02B0"/>
    <w:rsid w:val="00CA032E"/>
    <w:rsid w:val="00CA2182"/>
    <w:rsid w:val="00CA2186"/>
    <w:rsid w:val="00CA22E3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8FF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6E6"/>
    <w:rsid w:val="00D50A3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969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3B9"/>
    <w:rsid w:val="00D83ABC"/>
    <w:rsid w:val="00D84870"/>
    <w:rsid w:val="00D8493E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EE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638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645"/>
    <w:rsid w:val="00E2551E"/>
    <w:rsid w:val="00E26B13"/>
    <w:rsid w:val="00E2790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A5B"/>
    <w:rsid w:val="00EB73EB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2A62"/>
    <w:rsid w:val="00F84153"/>
    <w:rsid w:val="00F85661"/>
    <w:rsid w:val="00F96602"/>
    <w:rsid w:val="00F9735A"/>
    <w:rsid w:val="00F97761"/>
    <w:rsid w:val="00FA32FC"/>
    <w:rsid w:val="00FA59FD"/>
    <w:rsid w:val="00FA5D8C"/>
    <w:rsid w:val="00FA5EA5"/>
    <w:rsid w:val="00FA6403"/>
    <w:rsid w:val="00FB16CD"/>
    <w:rsid w:val="00FB73AE"/>
    <w:rsid w:val="00FC3084"/>
    <w:rsid w:val="00FC5388"/>
    <w:rsid w:val="00FC726C"/>
    <w:rsid w:val="00FD1B4B"/>
    <w:rsid w:val="00FD1B94"/>
    <w:rsid w:val="00FD2A25"/>
    <w:rsid w:val="00FD756A"/>
    <w:rsid w:val="00FE19C5"/>
    <w:rsid w:val="00FE4286"/>
    <w:rsid w:val="00FE48C3"/>
    <w:rsid w:val="00FE5909"/>
    <w:rsid w:val="00FE652E"/>
    <w:rsid w:val="00FE71FE"/>
    <w:rsid w:val="00FE763B"/>
    <w:rsid w:val="00FF0A28"/>
    <w:rsid w:val="00FF0B8B"/>
    <w:rsid w:val="00FF0E93"/>
    <w:rsid w:val="00FF13C3"/>
    <w:rsid w:val="00FF2ADD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A159F-1D77-46C5-A323-ADD270B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23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2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23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2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2394"/>
    <w:rPr>
      <w:b/>
      <w:bCs/>
    </w:rPr>
  </w:style>
  <w:style w:type="paragraph" w:styleId="Revision">
    <w:name w:val="Revision"/>
    <w:hidden/>
    <w:uiPriority w:val="99"/>
    <w:semiHidden/>
    <w:rsid w:val="005418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</Words>
  <Characters>8097</Characters>
  <Application>Microsoft Office Word</Application>
  <DocSecurity>4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HB02308 (Committee Report (Substituted))</vt:lpstr>
    </vt:vector>
  </TitlesOfParts>
  <Company>State of Texas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20973</dc:subject>
  <dc:creator>State of Texas</dc:creator>
  <dc:description>HB 2308 by Ashby-(H)Agriculture &amp; Livestock (Substitute Document Number: 88R 19774)</dc:description>
  <cp:lastModifiedBy>Damian Duarte</cp:lastModifiedBy>
  <cp:revision>2</cp:revision>
  <cp:lastPrinted>2003-11-26T17:21:00Z</cp:lastPrinted>
  <dcterms:created xsi:type="dcterms:W3CDTF">2023-04-03T21:43:00Z</dcterms:created>
  <dcterms:modified xsi:type="dcterms:W3CDTF">2023-04-03T21:43:00Z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23.89.260</vt:lpwstr>
  </property>
</Properties>
</file>