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20941" w14:paraId="6696FE01" w14:textId="77777777" w:rsidTr="00345119">
        <w:tc>
          <w:tcPr>
            <w:tcW w:w="9576" w:type="dxa"/>
            <w:noWrap/>
          </w:tcPr>
          <w:p w14:paraId="45C6617E" w14:textId="77777777" w:rsidR="008423E4" w:rsidRPr="0022177D" w:rsidRDefault="00446C2A" w:rsidP="00A10DA5">
            <w:pPr>
              <w:pStyle w:val="Heading1"/>
            </w:pPr>
            <w:r w:rsidRPr="00631897">
              <w:t>BILL ANALYSIS</w:t>
            </w:r>
          </w:p>
        </w:tc>
      </w:tr>
    </w:tbl>
    <w:p w14:paraId="499B6765" w14:textId="77777777" w:rsidR="008423E4" w:rsidRPr="0022177D" w:rsidRDefault="008423E4" w:rsidP="00A10DA5">
      <w:pPr>
        <w:jc w:val="center"/>
      </w:pPr>
    </w:p>
    <w:p w14:paraId="69DA7145" w14:textId="77777777" w:rsidR="008423E4" w:rsidRPr="00B31F0E" w:rsidRDefault="008423E4" w:rsidP="00A10DA5"/>
    <w:p w14:paraId="7C384D43" w14:textId="77777777" w:rsidR="008423E4" w:rsidRPr="00742794" w:rsidRDefault="008423E4" w:rsidP="00A10DA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20941" w14:paraId="6A2C3BB0" w14:textId="77777777" w:rsidTr="00345119">
        <w:tc>
          <w:tcPr>
            <w:tcW w:w="9576" w:type="dxa"/>
          </w:tcPr>
          <w:p w14:paraId="16F90472" w14:textId="1AF18636" w:rsidR="008423E4" w:rsidRPr="00861995" w:rsidRDefault="00446C2A" w:rsidP="00A10DA5">
            <w:pPr>
              <w:jc w:val="right"/>
            </w:pPr>
            <w:r>
              <w:t>C.S.H.B. 2333</w:t>
            </w:r>
          </w:p>
        </w:tc>
      </w:tr>
      <w:tr w:rsidR="00620941" w14:paraId="593A11A3" w14:textId="77777777" w:rsidTr="00345119">
        <w:tc>
          <w:tcPr>
            <w:tcW w:w="9576" w:type="dxa"/>
          </w:tcPr>
          <w:p w14:paraId="3DFACA92" w14:textId="35DE9F3E" w:rsidR="008423E4" w:rsidRPr="00861995" w:rsidRDefault="00446C2A" w:rsidP="00A10DA5">
            <w:pPr>
              <w:jc w:val="right"/>
            </w:pPr>
            <w:r>
              <w:t xml:space="preserve">By: </w:t>
            </w:r>
            <w:r w:rsidR="002E708F">
              <w:t>Allison</w:t>
            </w:r>
          </w:p>
        </w:tc>
      </w:tr>
      <w:tr w:rsidR="00620941" w14:paraId="1F644AF0" w14:textId="77777777" w:rsidTr="00345119">
        <w:tc>
          <w:tcPr>
            <w:tcW w:w="9576" w:type="dxa"/>
          </w:tcPr>
          <w:p w14:paraId="23C388D0" w14:textId="60891207" w:rsidR="008423E4" w:rsidRPr="00861995" w:rsidRDefault="00446C2A" w:rsidP="00A10DA5">
            <w:pPr>
              <w:jc w:val="right"/>
            </w:pPr>
            <w:r>
              <w:t>Judiciary &amp; Civil Jurisprudence</w:t>
            </w:r>
          </w:p>
        </w:tc>
      </w:tr>
      <w:tr w:rsidR="00620941" w14:paraId="1CC6380B" w14:textId="77777777" w:rsidTr="00345119">
        <w:tc>
          <w:tcPr>
            <w:tcW w:w="9576" w:type="dxa"/>
          </w:tcPr>
          <w:p w14:paraId="659B9594" w14:textId="7A1B3DB1" w:rsidR="008423E4" w:rsidRDefault="00446C2A" w:rsidP="00A10DA5">
            <w:pPr>
              <w:jc w:val="right"/>
            </w:pPr>
            <w:r>
              <w:t>Committee Report (Substituted)</w:t>
            </w:r>
          </w:p>
        </w:tc>
      </w:tr>
    </w:tbl>
    <w:p w14:paraId="7B60B956" w14:textId="77777777" w:rsidR="008423E4" w:rsidRDefault="008423E4" w:rsidP="00A10DA5">
      <w:pPr>
        <w:tabs>
          <w:tab w:val="right" w:pos="9360"/>
        </w:tabs>
      </w:pPr>
    </w:p>
    <w:p w14:paraId="48B3130D" w14:textId="77777777" w:rsidR="008423E4" w:rsidRDefault="008423E4" w:rsidP="00A10DA5"/>
    <w:p w14:paraId="18EEA87A" w14:textId="77777777" w:rsidR="008423E4" w:rsidRDefault="008423E4" w:rsidP="00A10DA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20941" w14:paraId="7EF74329" w14:textId="77777777" w:rsidTr="00A04917">
        <w:tc>
          <w:tcPr>
            <w:tcW w:w="9360" w:type="dxa"/>
          </w:tcPr>
          <w:p w14:paraId="16C20021" w14:textId="77777777" w:rsidR="008423E4" w:rsidRPr="00A8133F" w:rsidRDefault="00446C2A" w:rsidP="00A10DA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B8BA11F" w14:textId="77777777" w:rsidR="008423E4" w:rsidRDefault="008423E4" w:rsidP="00A10DA5"/>
          <w:p w14:paraId="26B0DF68" w14:textId="2057FE8F" w:rsidR="008423E4" w:rsidRDefault="00446C2A" w:rsidP="00A10DA5">
            <w:pPr>
              <w:pStyle w:val="Header"/>
              <w:jc w:val="both"/>
            </w:pPr>
            <w:r>
              <w:t>While</w:t>
            </w:r>
            <w:r w:rsidR="004B75DF">
              <w:t xml:space="preserve"> </w:t>
            </w:r>
            <w:r w:rsidR="004B75DF" w:rsidRPr="004B75DF">
              <w:t>trust beneficiaries</w:t>
            </w:r>
            <w:r w:rsidR="004B75DF">
              <w:t xml:space="preserve"> </w:t>
            </w:r>
            <w:r>
              <w:t xml:space="preserve">should </w:t>
            </w:r>
            <w:r w:rsidR="004B75DF" w:rsidRPr="004B75DF">
              <w:t>have more control over their personal trusts</w:t>
            </w:r>
            <w:r>
              <w:t xml:space="preserve"> or a commercial trust,</w:t>
            </w:r>
            <w:r w:rsidR="004B75DF" w:rsidRPr="004B75DF">
              <w:t xml:space="preserve"> </w:t>
            </w:r>
            <w:r>
              <w:t>additional enforcement</w:t>
            </w:r>
            <w:r w:rsidR="00CF3BE4">
              <w:t xml:space="preserve"> for</w:t>
            </w:r>
            <w:r w:rsidR="009E7764">
              <w:t xml:space="preserve"> noncharitable</w:t>
            </w:r>
            <w:r w:rsidR="00CF3BE4">
              <w:t xml:space="preserve"> trusts</w:t>
            </w:r>
            <w:r>
              <w:t xml:space="preserve"> without an ascertainable beneficiary</w:t>
            </w:r>
            <w:r w:rsidR="00CF3BE4">
              <w:t xml:space="preserve"> </w:t>
            </w:r>
            <w:r>
              <w:t>is also needed</w:t>
            </w:r>
            <w:r w:rsidR="00CF3BE4">
              <w:t xml:space="preserve">. </w:t>
            </w:r>
            <w:r w:rsidR="004B75DF">
              <w:t xml:space="preserve">C.S.H.B. 2333 </w:t>
            </w:r>
            <w:r w:rsidR="00CF3BE4">
              <w:t xml:space="preserve">seeks to </w:t>
            </w:r>
            <w:r w:rsidR="004B75DF">
              <w:t>ensure that noncharitable trusts without a definite or definitely ascertainable beneficiary are properly enforced and administered</w:t>
            </w:r>
            <w:r w:rsidR="00CF3BE4">
              <w:t xml:space="preserve"> by providing for the</w:t>
            </w:r>
            <w:r w:rsidR="004B75DF">
              <w:t xml:space="preserve"> appointment of one or more trust enforcers to ensure that the trust's purpose and terms are being carried out appropriately</w:t>
            </w:r>
            <w:r w:rsidR="00CF3BE4">
              <w:t xml:space="preserve">. </w:t>
            </w:r>
            <w:r w:rsidR="004B75DF">
              <w:t xml:space="preserve">Overall, </w:t>
            </w:r>
            <w:r w:rsidR="00CF3BE4">
              <w:t>this legislation</w:t>
            </w:r>
            <w:r w:rsidR="004B75DF">
              <w:t xml:space="preserve"> seeks to provide a framework for the proper enforcement and administration of noncharitable trusts without a definite or definitely ascertainable beneficiary.</w:t>
            </w:r>
          </w:p>
          <w:p w14:paraId="6A7754A6" w14:textId="77777777" w:rsidR="008423E4" w:rsidRPr="00E26B13" w:rsidRDefault="008423E4" w:rsidP="00A10DA5">
            <w:pPr>
              <w:rPr>
                <w:b/>
              </w:rPr>
            </w:pPr>
          </w:p>
        </w:tc>
      </w:tr>
      <w:tr w:rsidR="00620941" w14:paraId="005FFD17" w14:textId="77777777" w:rsidTr="00A04917">
        <w:tc>
          <w:tcPr>
            <w:tcW w:w="9360" w:type="dxa"/>
          </w:tcPr>
          <w:p w14:paraId="6ED87A72" w14:textId="77777777" w:rsidR="0017725B" w:rsidRDefault="00446C2A" w:rsidP="00A10D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1DE5FAE" w14:textId="77777777" w:rsidR="0017725B" w:rsidRDefault="0017725B" w:rsidP="00A10DA5">
            <w:pPr>
              <w:rPr>
                <w:b/>
                <w:u w:val="single"/>
              </w:rPr>
            </w:pPr>
          </w:p>
          <w:p w14:paraId="1609E6DD" w14:textId="14EA642F" w:rsidR="00A04917" w:rsidRPr="00A04917" w:rsidRDefault="00446C2A" w:rsidP="00A10DA5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3BB09564" w14:textId="77777777" w:rsidR="0017725B" w:rsidRPr="0017725B" w:rsidRDefault="0017725B" w:rsidP="00A10DA5">
            <w:pPr>
              <w:rPr>
                <w:b/>
                <w:u w:val="single"/>
              </w:rPr>
            </w:pPr>
          </w:p>
        </w:tc>
      </w:tr>
      <w:tr w:rsidR="00620941" w14:paraId="264F6C6E" w14:textId="77777777" w:rsidTr="00A04917">
        <w:tc>
          <w:tcPr>
            <w:tcW w:w="9360" w:type="dxa"/>
          </w:tcPr>
          <w:p w14:paraId="7D7D1413" w14:textId="77777777" w:rsidR="008423E4" w:rsidRPr="00A8133F" w:rsidRDefault="00446C2A" w:rsidP="00A10DA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780A00" w14:textId="77777777" w:rsidR="008423E4" w:rsidRDefault="008423E4" w:rsidP="00A10DA5"/>
          <w:p w14:paraId="2DE0EE60" w14:textId="292594BF" w:rsidR="00A04917" w:rsidRDefault="00446C2A" w:rsidP="00A10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1BC9C320" w14:textId="77777777" w:rsidR="008423E4" w:rsidRPr="00E21FDC" w:rsidRDefault="008423E4" w:rsidP="00A10DA5">
            <w:pPr>
              <w:rPr>
                <w:b/>
              </w:rPr>
            </w:pPr>
          </w:p>
        </w:tc>
      </w:tr>
      <w:tr w:rsidR="00620941" w14:paraId="7EBFA531" w14:textId="77777777" w:rsidTr="00A04917">
        <w:tc>
          <w:tcPr>
            <w:tcW w:w="9360" w:type="dxa"/>
          </w:tcPr>
          <w:p w14:paraId="2B67A703" w14:textId="77777777" w:rsidR="00A04917" w:rsidRPr="00A8133F" w:rsidRDefault="00446C2A" w:rsidP="00A10DA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27EED5D" w14:textId="77777777" w:rsidR="00A04917" w:rsidRDefault="00A04917" w:rsidP="00A10DA5"/>
          <w:p w14:paraId="1A64E95F" w14:textId="1B649DB5" w:rsidR="00A04917" w:rsidRDefault="00446C2A" w:rsidP="00A10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171BF">
              <w:t>C.S.</w:t>
            </w:r>
            <w:r>
              <w:t xml:space="preserve">H.B. 2333 amends the </w:t>
            </w:r>
            <w:r w:rsidRPr="006977B5">
              <w:t>Property Code</w:t>
            </w:r>
            <w:r>
              <w:t xml:space="preserve"> to authorize the creation of a trust</w:t>
            </w:r>
            <w:r>
              <w:t xml:space="preserve"> for a noncharitable purpose without a definite or definitely ascertainable beneficiary</w:t>
            </w:r>
            <w:r w:rsidR="00C4754C">
              <w:t xml:space="preserve"> and</w:t>
            </w:r>
            <w:r w:rsidR="006F176B">
              <w:t xml:space="preserve"> to establish that such</w:t>
            </w:r>
            <w:r w:rsidR="00C4754C">
              <w:t xml:space="preserve"> </w:t>
            </w:r>
            <w:r w:rsidR="006F176B">
              <w:t>a</w:t>
            </w:r>
            <w:r w:rsidR="006406CC">
              <w:t xml:space="preserve"> noncharitable purpose may include seeking economic or noneconomic benefits</w:t>
            </w:r>
            <w:r w:rsidR="00CF3BE4">
              <w:t>.</w:t>
            </w:r>
            <w:r w:rsidR="006406CC">
              <w:t xml:space="preserve"> </w:t>
            </w:r>
            <w:r>
              <w:t>The bill establishes the following with respect to the trust:</w:t>
            </w:r>
          </w:p>
          <w:p w14:paraId="2C599A29" w14:textId="77777777" w:rsidR="00A04917" w:rsidRDefault="00446C2A" w:rsidP="00A10DA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>
              <w:t xml:space="preserve">he </w:t>
            </w:r>
            <w:r w:rsidRPr="00A161C9">
              <w:t>trust must be enforced by one or more persons appointed in the trust to serve as trus</w:t>
            </w:r>
            <w:r>
              <w:t xml:space="preserve">t </w:t>
            </w:r>
            <w:r w:rsidRPr="006977B5">
              <w:t>enforcer</w:t>
            </w:r>
            <w:r>
              <w:t xml:space="preserve"> who must </w:t>
            </w:r>
            <w:r w:rsidRPr="006977B5">
              <w:t>enforce the purpose and terms of the trust</w:t>
            </w:r>
            <w:r>
              <w:t xml:space="preserve"> and exercise any authority granted under the trust or the bill's provisions </w:t>
            </w:r>
            <w:r w:rsidRPr="00F32141">
              <w:t>as a fiduciary owing a duty t</w:t>
            </w:r>
            <w:r w:rsidRPr="00F32141">
              <w:t>o the trust</w:t>
            </w:r>
            <w:r>
              <w:t>;</w:t>
            </w:r>
          </w:p>
          <w:p w14:paraId="047BD6AA" w14:textId="6F6D83E2" w:rsidR="00A04917" w:rsidRDefault="00446C2A" w:rsidP="00A10DA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trust enforcer or enforcers</w:t>
            </w:r>
            <w:r w:rsidRPr="00F32141">
              <w:t xml:space="preserve"> </w:t>
            </w:r>
            <w:r>
              <w:t>are</w:t>
            </w:r>
            <w:r w:rsidRPr="00F32141">
              <w:t xml:space="preserve"> entitled to reasonable compensation for serving</w:t>
            </w:r>
            <w:r>
              <w:t xml:space="preserve"> as such; </w:t>
            </w:r>
          </w:p>
          <w:p w14:paraId="1DE6DAFA" w14:textId="7E02F819" w:rsidR="00A04917" w:rsidRDefault="00446C2A" w:rsidP="00A10DA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Pr="00DB072A">
              <w:t>enforcer</w:t>
            </w:r>
            <w:r>
              <w:t xml:space="preserve"> or enforcers</w:t>
            </w:r>
            <w:r w:rsidRPr="00DB072A">
              <w:t xml:space="preserve"> </w:t>
            </w:r>
            <w:r>
              <w:t>are</w:t>
            </w:r>
            <w:r w:rsidRPr="00DB072A">
              <w:t xml:space="preserve"> not beneficiar</w:t>
            </w:r>
            <w:r>
              <w:t>ies</w:t>
            </w:r>
            <w:r w:rsidRPr="00DB072A">
              <w:t xml:space="preserve"> of the </w:t>
            </w:r>
            <w:r w:rsidR="00D74AAF" w:rsidRPr="00DB072A">
              <w:t>trust but</w:t>
            </w:r>
            <w:r w:rsidRPr="00DB072A">
              <w:t xml:space="preserve"> </w:t>
            </w:r>
            <w:r>
              <w:t>have</w:t>
            </w:r>
            <w:r w:rsidRPr="00DB072A">
              <w:t xml:space="preserve"> the rights of a beneficiary provided under </w:t>
            </w:r>
            <w:r>
              <w:t>applicable Property Code provisions</w:t>
            </w:r>
            <w:r w:rsidRPr="00DB072A">
              <w:t xml:space="preserve"> </w:t>
            </w:r>
            <w:r w:rsidRPr="00DB072A">
              <w:t xml:space="preserve">and </w:t>
            </w:r>
            <w:r>
              <w:t>state</w:t>
            </w:r>
            <w:r w:rsidRPr="00DB072A">
              <w:t xml:space="preserve"> common la</w:t>
            </w:r>
            <w:r>
              <w:t>w</w:t>
            </w:r>
            <w:r w:rsidRPr="00DB072A">
              <w:t>, or as otherwise provided by the trust</w:t>
            </w:r>
            <w:r w:rsidR="00FC5161">
              <w:t>;</w:t>
            </w:r>
          </w:p>
          <w:p w14:paraId="59B40729" w14:textId="7D33E50F" w:rsidR="00FC5161" w:rsidRDefault="00446C2A" w:rsidP="00A10DA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trust enforcer may consent to, waive, object to, or petition an appropriate court concerning any matter regarding the purpose or administration of the trust;</w:t>
            </w:r>
          </w:p>
          <w:p w14:paraId="26314F59" w14:textId="62B43DDD" w:rsidR="00FC5161" w:rsidRDefault="00446C2A" w:rsidP="00A10DA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except as provided by the trust, if more than one person is acting </w:t>
            </w:r>
            <w:r w:rsidRPr="00FC5161">
              <w:t>as a trust enforcer, any action in that capacity must be decided by the majority vote of the persons acting as trust enforcers</w:t>
            </w:r>
            <w:r>
              <w:t xml:space="preserve">; </w:t>
            </w:r>
          </w:p>
          <w:p w14:paraId="4AE778F8" w14:textId="70F0F31F" w:rsidR="00FC5161" w:rsidRDefault="00446C2A" w:rsidP="00A10DA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if there are an even number of trust enforcers and a majorit</w:t>
            </w:r>
            <w:r>
              <w:t>y vote cannot be established, the decision of the trustee controls; and</w:t>
            </w:r>
          </w:p>
          <w:p w14:paraId="7070111B" w14:textId="50EA006C" w:rsidR="00FC5161" w:rsidRDefault="00446C2A" w:rsidP="00A10DA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terms of the trust may provide for the succession of a trust enforcer or a process of appointing any successor trust enforcer.</w:t>
            </w:r>
          </w:p>
          <w:p w14:paraId="3C6B6A88" w14:textId="231A6235" w:rsidR="00A04917" w:rsidRDefault="00446C2A" w:rsidP="00A10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If no person is serving as the </w:t>
            </w:r>
            <w:r w:rsidRPr="00DE3377">
              <w:t>enforcer</w:t>
            </w:r>
            <w:r>
              <w:t xml:space="preserve">, </w:t>
            </w:r>
            <w:r w:rsidRPr="00DE3377">
              <w:t>a court prop</w:t>
            </w:r>
            <w:r w:rsidRPr="00DE3377">
              <w:t xml:space="preserve">erly exercising jurisdiction </w:t>
            </w:r>
            <w:r>
              <w:t>must</w:t>
            </w:r>
            <w:r w:rsidRPr="00DE3377">
              <w:t xml:space="preserve"> appoint one or more persons to serve </w:t>
            </w:r>
            <w:r>
              <w:t>in that capacity.</w:t>
            </w:r>
            <w:r w:rsidR="00952F65">
              <w:t xml:space="preserve"> </w:t>
            </w:r>
          </w:p>
          <w:p w14:paraId="53FE63B9" w14:textId="47F39940" w:rsidR="00952F65" w:rsidRDefault="00952F65" w:rsidP="00A10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DA620D5" w14:textId="64A42B42" w:rsidR="00A04917" w:rsidRDefault="00446C2A" w:rsidP="00A10DA5">
            <w:pPr>
              <w:pStyle w:val="Header"/>
              <w:jc w:val="both"/>
            </w:pPr>
            <w:r w:rsidRPr="00B171BF">
              <w:t>C.S.</w:t>
            </w:r>
            <w:r>
              <w:t>H.B. 2333 restricts the use of trust p</w:t>
            </w:r>
            <w:r w:rsidRPr="009114F0">
              <w:t xml:space="preserve">roperty </w:t>
            </w:r>
            <w:r>
              <w:t>to the intended purpose of the trust, except to the extent that a court finds the value of the trust property excee</w:t>
            </w:r>
            <w:r>
              <w:t xml:space="preserve">ds the amount required for the intended purpose. </w:t>
            </w:r>
            <w:r w:rsidRPr="004977E2">
              <w:t xml:space="preserve">Except as provided by </w:t>
            </w:r>
            <w:r>
              <w:t xml:space="preserve">the </w:t>
            </w:r>
            <w:r w:rsidRPr="004977E2">
              <w:t xml:space="preserve">trust, </w:t>
            </w:r>
            <w:r>
              <w:t xml:space="preserve">property that </w:t>
            </w:r>
            <w:r w:rsidR="001E39D7">
              <w:t xml:space="preserve">a court finds is not required for the </w:t>
            </w:r>
            <w:r w:rsidR="00B944CC">
              <w:t xml:space="preserve">trust's </w:t>
            </w:r>
            <w:r w:rsidR="001E39D7">
              <w:t xml:space="preserve">intended purpose </w:t>
            </w:r>
            <w:r>
              <w:t xml:space="preserve">must be distributed as provided by the terms of the trust or </w:t>
            </w:r>
            <w:r w:rsidRPr="004977E2">
              <w:t xml:space="preserve">to the settlor if then living or to </w:t>
            </w:r>
            <w:r w:rsidRPr="004977E2">
              <w:t>the settlor's successors in interest.</w:t>
            </w:r>
            <w:r w:rsidR="006F176B">
              <w:t xml:space="preserve"> The bill's provisions regarding a noncharitable trust without an ascertainable beneficiary expressly do not apply to a trust created for </w:t>
            </w:r>
            <w:r w:rsidR="002371EE">
              <w:t xml:space="preserve">the care of </w:t>
            </w:r>
            <w:r w:rsidR="006F176B">
              <w:t>an animal.</w:t>
            </w:r>
          </w:p>
          <w:p w14:paraId="7C05C957" w14:textId="050A036C" w:rsidR="006F176B" w:rsidRDefault="006F176B" w:rsidP="00A10DA5">
            <w:pPr>
              <w:pStyle w:val="Header"/>
              <w:jc w:val="both"/>
            </w:pPr>
          </w:p>
          <w:p w14:paraId="6C32009A" w14:textId="74D9EB50" w:rsidR="006F176B" w:rsidRDefault="00446C2A" w:rsidP="00A10DA5">
            <w:pPr>
              <w:pStyle w:val="Header"/>
              <w:jc w:val="both"/>
            </w:pPr>
            <w:r w:rsidRPr="00952F65">
              <w:t xml:space="preserve">C.S.H.B. 2333 </w:t>
            </w:r>
            <w:r>
              <w:t>expands the definition of</w:t>
            </w:r>
            <w:r w:rsidRPr="00952F65">
              <w:t xml:space="preserve"> "express trust" </w:t>
            </w:r>
            <w:r>
              <w:t>u</w:t>
            </w:r>
            <w:r>
              <w:t xml:space="preserve">nder the Texas Trust Code to include </w:t>
            </w:r>
            <w:r w:rsidRPr="00952F65">
              <w:t>a fiduciary relationship with respect to property which arises as a manifestation by the settlor of an intention to create the relationship and which subjects the person holding title to the property to equitable duties</w:t>
            </w:r>
            <w:r w:rsidRPr="00952F65">
              <w:t xml:space="preserve"> to deal with the property for a particular purpose in the case of a </w:t>
            </w:r>
            <w:r>
              <w:t>trust subject to the bill's provisions.</w:t>
            </w:r>
          </w:p>
          <w:p w14:paraId="4286F686" w14:textId="77777777" w:rsidR="00A04917" w:rsidRDefault="00A04917" w:rsidP="00A10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EAC4D0B" w14:textId="250BCD58" w:rsidR="00A04917" w:rsidRPr="009C36CD" w:rsidRDefault="00446C2A" w:rsidP="00A10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171BF">
              <w:t>C.S.</w:t>
            </w:r>
            <w:r w:rsidRPr="0028320C">
              <w:t>H.B. 2333</w:t>
            </w:r>
            <w:r>
              <w:t xml:space="preserve"> </w:t>
            </w:r>
            <w:r w:rsidRPr="0028320C">
              <w:t>applies only to a trust</w:t>
            </w:r>
            <w:r>
              <w:t xml:space="preserve"> </w:t>
            </w:r>
            <w:r w:rsidRPr="004B1E91">
              <w:t xml:space="preserve">created </w:t>
            </w:r>
            <w:r w:rsidRPr="0028320C">
              <w:t xml:space="preserve">on or after the </w:t>
            </w:r>
            <w:r>
              <w:t xml:space="preserve">bill's </w:t>
            </w:r>
            <w:r w:rsidRPr="0028320C">
              <w:t>effective date</w:t>
            </w:r>
            <w:r>
              <w:t>.</w:t>
            </w:r>
          </w:p>
          <w:p w14:paraId="4A38C3E3" w14:textId="77777777" w:rsidR="00A04917" w:rsidRPr="00835628" w:rsidRDefault="00A04917" w:rsidP="00A10DA5">
            <w:pPr>
              <w:rPr>
                <w:b/>
              </w:rPr>
            </w:pPr>
          </w:p>
        </w:tc>
      </w:tr>
      <w:tr w:rsidR="00620941" w14:paraId="3C6A3589" w14:textId="77777777" w:rsidTr="00A04917">
        <w:tc>
          <w:tcPr>
            <w:tcW w:w="9360" w:type="dxa"/>
          </w:tcPr>
          <w:p w14:paraId="19313ED1" w14:textId="77777777" w:rsidR="00A04917" w:rsidRPr="00A8133F" w:rsidRDefault="00446C2A" w:rsidP="00A10DA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1438EB4" w14:textId="77777777" w:rsidR="00A04917" w:rsidRDefault="00A04917" w:rsidP="00A10DA5"/>
          <w:p w14:paraId="67C63A66" w14:textId="21C81BE3" w:rsidR="00A04917" w:rsidRPr="003624F2" w:rsidRDefault="00446C2A" w:rsidP="00A10D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</w:t>
            </w:r>
            <w:r>
              <w:t>receive the necessary vote, September 1, 2023.</w:t>
            </w:r>
          </w:p>
          <w:p w14:paraId="3ABB3EEF" w14:textId="77777777" w:rsidR="00A04917" w:rsidRPr="00233FDB" w:rsidRDefault="00A04917" w:rsidP="00A10DA5">
            <w:pPr>
              <w:rPr>
                <w:b/>
              </w:rPr>
            </w:pPr>
          </w:p>
        </w:tc>
      </w:tr>
      <w:tr w:rsidR="00620941" w14:paraId="29CAA201" w14:textId="77777777" w:rsidTr="00A04917">
        <w:tc>
          <w:tcPr>
            <w:tcW w:w="9360" w:type="dxa"/>
          </w:tcPr>
          <w:p w14:paraId="6FFEF6AD" w14:textId="77777777" w:rsidR="002E708F" w:rsidRDefault="00446C2A" w:rsidP="00A10DA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36B15B4" w14:textId="77777777" w:rsidR="00AF03D3" w:rsidRDefault="00AF03D3" w:rsidP="00A10DA5">
            <w:pPr>
              <w:jc w:val="both"/>
            </w:pPr>
          </w:p>
          <w:p w14:paraId="6857656B" w14:textId="535BFA89" w:rsidR="00AF03D3" w:rsidRDefault="00446C2A" w:rsidP="00A10DA5">
            <w:pPr>
              <w:jc w:val="both"/>
            </w:pPr>
            <w:r>
              <w:t>While C.S.H.B. 2333 may differ from the introduced in minor or nonsubstantive ways, the following summarizes the substantial differences between the introduced and co</w:t>
            </w:r>
            <w:r>
              <w:t>mmittee substitute versions of the bill.</w:t>
            </w:r>
          </w:p>
          <w:p w14:paraId="56584F48" w14:textId="77777777" w:rsidR="002051E4" w:rsidRDefault="002051E4" w:rsidP="00A10DA5">
            <w:pPr>
              <w:jc w:val="both"/>
            </w:pPr>
          </w:p>
          <w:p w14:paraId="3EF7DA2E" w14:textId="3849863B" w:rsidR="00AF03D3" w:rsidRDefault="00446C2A" w:rsidP="00A10DA5">
            <w:pPr>
              <w:jc w:val="both"/>
            </w:pPr>
            <w:r w:rsidRPr="006D4C1F">
              <w:t xml:space="preserve">The substitute </w:t>
            </w:r>
            <w:r w:rsidR="003E0EE6">
              <w:t xml:space="preserve">contains a provision absent from </w:t>
            </w:r>
            <w:r w:rsidR="002051E4">
              <w:t xml:space="preserve">the introduced </w:t>
            </w:r>
            <w:r w:rsidR="003E0EE6">
              <w:t>that expands</w:t>
            </w:r>
            <w:r w:rsidR="002051E4">
              <w:t xml:space="preserve"> </w:t>
            </w:r>
            <w:r w:rsidR="002051E4" w:rsidRPr="002051E4">
              <w:t xml:space="preserve">the definition of "express trust" </w:t>
            </w:r>
            <w:r w:rsidR="003E0EE6">
              <w:t xml:space="preserve">to include </w:t>
            </w:r>
            <w:r w:rsidR="002051E4" w:rsidRPr="002051E4">
              <w:t>a fiduciary relationship with respect to property which arises as a manifestation by the settlor of an intention to create the relationship and which subjects the person holding title to the property to equitable duties to deal with the property for a particular purpose in the case of a trust subject to the bill's provisions.</w:t>
            </w:r>
            <w:r w:rsidR="002051E4">
              <w:t xml:space="preserve"> </w:t>
            </w:r>
          </w:p>
          <w:p w14:paraId="0E30ACD9" w14:textId="77777777" w:rsidR="002051E4" w:rsidRDefault="002051E4" w:rsidP="00A10DA5">
            <w:pPr>
              <w:jc w:val="both"/>
            </w:pPr>
          </w:p>
          <w:p w14:paraId="6DEACC9F" w14:textId="4BEEEC86" w:rsidR="00742CA1" w:rsidRDefault="00446C2A" w:rsidP="00A10DA5">
            <w:pPr>
              <w:jc w:val="both"/>
            </w:pPr>
            <w:r w:rsidRPr="00742CA1">
              <w:t>The substitute incl</w:t>
            </w:r>
            <w:r w:rsidRPr="00742CA1">
              <w:t>udes a</w:t>
            </w:r>
            <w:r>
              <w:t xml:space="preserve"> </w:t>
            </w:r>
            <w:r w:rsidR="002051E4">
              <w:t xml:space="preserve">provision </w:t>
            </w:r>
            <w:r w:rsidR="003E0EE6">
              <w:t>absent from</w:t>
            </w:r>
            <w:r w:rsidR="002051E4">
              <w:t xml:space="preserve"> the introduced </w:t>
            </w:r>
            <w:r w:rsidR="003E0EE6">
              <w:t>establishing</w:t>
            </w:r>
            <w:r w:rsidR="002051E4">
              <w:t xml:space="preserve"> that a</w:t>
            </w:r>
            <w:r w:rsidR="002051E4" w:rsidRPr="002051E4">
              <w:t xml:space="preserve"> noncharitable purpose</w:t>
            </w:r>
            <w:r w:rsidR="002051E4">
              <w:t xml:space="preserve"> with respect to a </w:t>
            </w:r>
            <w:r w:rsidR="002051E4" w:rsidRPr="002051E4">
              <w:t>noncharitable trust without an ascertainable beneficiary may include seeking economic or noneconomic benefits</w:t>
            </w:r>
            <w:r w:rsidR="004B75DF">
              <w:t>.</w:t>
            </w:r>
          </w:p>
          <w:p w14:paraId="53D606AD" w14:textId="77777777" w:rsidR="004B75DF" w:rsidRDefault="004B75DF" w:rsidP="00A10DA5">
            <w:pPr>
              <w:jc w:val="both"/>
            </w:pPr>
          </w:p>
          <w:p w14:paraId="2C3FE1EA" w14:textId="54CF81AC" w:rsidR="00F51D19" w:rsidRPr="00AF03D3" w:rsidRDefault="00446C2A" w:rsidP="00A10DA5">
            <w:pPr>
              <w:jc w:val="both"/>
            </w:pPr>
            <w:r w:rsidRPr="00F51D19">
              <w:t xml:space="preserve">The substitute omits provisions </w:t>
            </w:r>
            <w:r w:rsidR="003E0EE6">
              <w:t>from</w:t>
            </w:r>
            <w:r w:rsidRPr="00F51D19">
              <w:t xml:space="preserve"> the</w:t>
            </w:r>
            <w:r w:rsidRPr="00F51D19">
              <w:t xml:space="preserve"> introduced</w:t>
            </w:r>
            <w:r>
              <w:t xml:space="preserve"> relating to </w:t>
            </w:r>
            <w:r w:rsidR="004B75DF">
              <w:t>the creation of a</w:t>
            </w:r>
            <w:r>
              <w:t xml:space="preserve"> </w:t>
            </w:r>
            <w:r w:rsidRPr="00F51D19">
              <w:t>commercial legacy trust</w:t>
            </w:r>
            <w:r w:rsidR="004B75DF">
              <w:t xml:space="preserve">, </w:t>
            </w:r>
            <w:r>
              <w:t xml:space="preserve">a </w:t>
            </w:r>
            <w:r w:rsidRPr="00F51D19">
              <w:t xml:space="preserve">business committee </w:t>
            </w:r>
            <w:r w:rsidR="00BD68D8">
              <w:t xml:space="preserve">established </w:t>
            </w:r>
            <w:r w:rsidRPr="00F51D19">
              <w:t xml:space="preserve">for </w:t>
            </w:r>
            <w:r w:rsidR="004B75DF">
              <w:t>such a</w:t>
            </w:r>
            <w:r w:rsidRPr="00F51D19">
              <w:t xml:space="preserve"> trust</w:t>
            </w:r>
            <w:r w:rsidR="004B75DF">
              <w:t>,</w:t>
            </w:r>
            <w:r w:rsidRPr="00F51D19">
              <w:t xml:space="preserve"> </w:t>
            </w:r>
            <w:r w:rsidR="00A9015B">
              <w:t xml:space="preserve">and a </w:t>
            </w:r>
            <w:r w:rsidRPr="00F51D19">
              <w:t>required report</w:t>
            </w:r>
            <w:r w:rsidR="00A9015B">
              <w:t xml:space="preserve"> by </w:t>
            </w:r>
            <w:r w:rsidR="004B75DF">
              <w:t xml:space="preserve">that </w:t>
            </w:r>
            <w:r w:rsidR="00A9015B">
              <w:t>committee</w:t>
            </w:r>
            <w:r>
              <w:t>.</w:t>
            </w:r>
          </w:p>
        </w:tc>
      </w:tr>
      <w:tr w:rsidR="00620941" w14:paraId="7CDE9B05" w14:textId="77777777" w:rsidTr="00A04917">
        <w:tc>
          <w:tcPr>
            <w:tcW w:w="9360" w:type="dxa"/>
          </w:tcPr>
          <w:p w14:paraId="225047C8" w14:textId="77777777" w:rsidR="002E708F" w:rsidRPr="009C1E9A" w:rsidRDefault="002E708F" w:rsidP="00A10DA5">
            <w:pPr>
              <w:rPr>
                <w:b/>
                <w:u w:val="single"/>
              </w:rPr>
            </w:pPr>
          </w:p>
        </w:tc>
      </w:tr>
      <w:tr w:rsidR="00620941" w14:paraId="086B1044" w14:textId="77777777" w:rsidTr="00A04917">
        <w:tc>
          <w:tcPr>
            <w:tcW w:w="9360" w:type="dxa"/>
          </w:tcPr>
          <w:p w14:paraId="00925247" w14:textId="77777777" w:rsidR="002E708F" w:rsidRPr="002E708F" w:rsidRDefault="002E708F" w:rsidP="00A10DA5">
            <w:pPr>
              <w:jc w:val="both"/>
            </w:pPr>
          </w:p>
        </w:tc>
      </w:tr>
    </w:tbl>
    <w:p w14:paraId="51949306" w14:textId="77777777" w:rsidR="008423E4" w:rsidRPr="00BE0E75" w:rsidRDefault="008423E4" w:rsidP="00A10DA5">
      <w:pPr>
        <w:jc w:val="both"/>
        <w:rPr>
          <w:rFonts w:ascii="Arial" w:hAnsi="Arial"/>
          <w:sz w:val="16"/>
          <w:szCs w:val="16"/>
        </w:rPr>
      </w:pPr>
    </w:p>
    <w:p w14:paraId="4BD9273E" w14:textId="77777777" w:rsidR="004108C3" w:rsidRPr="008423E4" w:rsidRDefault="004108C3" w:rsidP="00A10DA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CA01" w14:textId="77777777" w:rsidR="00000000" w:rsidRDefault="00446C2A">
      <w:r>
        <w:separator/>
      </w:r>
    </w:p>
  </w:endnote>
  <w:endnote w:type="continuationSeparator" w:id="0">
    <w:p w14:paraId="191530C6" w14:textId="77777777" w:rsidR="00000000" w:rsidRDefault="0044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616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20941" w14:paraId="69D8F748" w14:textId="77777777" w:rsidTr="009C1E9A">
      <w:trPr>
        <w:cantSplit/>
      </w:trPr>
      <w:tc>
        <w:tcPr>
          <w:tcW w:w="0" w:type="pct"/>
        </w:tcPr>
        <w:p w14:paraId="0B5A63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9757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0EFD2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1394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63B3E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0941" w14:paraId="7EF67CD4" w14:textId="77777777" w:rsidTr="009C1E9A">
      <w:trPr>
        <w:cantSplit/>
      </w:trPr>
      <w:tc>
        <w:tcPr>
          <w:tcW w:w="0" w:type="pct"/>
        </w:tcPr>
        <w:p w14:paraId="439376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22A69C" w14:textId="6728B5F3" w:rsidR="00EC379B" w:rsidRPr="009C1E9A" w:rsidRDefault="00446C2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24644-D</w:t>
          </w:r>
        </w:p>
      </w:tc>
      <w:tc>
        <w:tcPr>
          <w:tcW w:w="2453" w:type="pct"/>
        </w:tcPr>
        <w:p w14:paraId="4B5E6286" w14:textId="5DA4A202" w:rsidR="00EC379B" w:rsidRDefault="00446C2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04D99">
            <w:t>23.110.1762</w:t>
          </w:r>
          <w:r>
            <w:fldChar w:fldCharType="end"/>
          </w:r>
        </w:p>
      </w:tc>
    </w:tr>
    <w:tr w:rsidR="00620941" w14:paraId="6B87DF22" w14:textId="77777777" w:rsidTr="009C1E9A">
      <w:trPr>
        <w:cantSplit/>
      </w:trPr>
      <w:tc>
        <w:tcPr>
          <w:tcW w:w="0" w:type="pct"/>
        </w:tcPr>
        <w:p w14:paraId="511FBC2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9826781" w14:textId="05856E23" w:rsidR="00EC379B" w:rsidRPr="009C1E9A" w:rsidRDefault="00446C2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23115</w:t>
          </w:r>
        </w:p>
      </w:tc>
      <w:tc>
        <w:tcPr>
          <w:tcW w:w="2453" w:type="pct"/>
        </w:tcPr>
        <w:p w14:paraId="2AC9AE4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30DC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0941" w14:paraId="79142FC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8803E0" w14:textId="77777777" w:rsidR="00EC379B" w:rsidRDefault="00446C2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B0991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67A1F3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DEB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1074" w14:textId="77777777" w:rsidR="00000000" w:rsidRDefault="00446C2A">
      <w:r>
        <w:separator/>
      </w:r>
    </w:p>
  </w:footnote>
  <w:footnote w:type="continuationSeparator" w:id="0">
    <w:p w14:paraId="4FF350B9" w14:textId="77777777" w:rsidR="00000000" w:rsidRDefault="0044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15E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E2B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04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C58BB"/>
    <w:multiLevelType w:val="hybridMultilevel"/>
    <w:tmpl w:val="B0960D9E"/>
    <w:lvl w:ilvl="0" w:tplc="A94E9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25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05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C7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AB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47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84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C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C25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5698A"/>
    <w:multiLevelType w:val="hybridMultilevel"/>
    <w:tmpl w:val="65746A9E"/>
    <w:lvl w:ilvl="0" w:tplc="CF188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EE4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66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00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40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6F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AF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0C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C0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1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549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71A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9D7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D99"/>
    <w:rsid w:val="002051E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1EE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20C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E02"/>
    <w:rsid w:val="002E21B8"/>
    <w:rsid w:val="002E708F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EC7"/>
    <w:rsid w:val="003D726D"/>
    <w:rsid w:val="003E0875"/>
    <w:rsid w:val="003E0BB8"/>
    <w:rsid w:val="003E0EE6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C2A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977E2"/>
    <w:rsid w:val="004A03F7"/>
    <w:rsid w:val="004A081C"/>
    <w:rsid w:val="004A123F"/>
    <w:rsid w:val="004A2172"/>
    <w:rsid w:val="004A239F"/>
    <w:rsid w:val="004B138F"/>
    <w:rsid w:val="004B1E91"/>
    <w:rsid w:val="004B412A"/>
    <w:rsid w:val="004B576C"/>
    <w:rsid w:val="004B75DF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486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94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6CC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7B5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C1F"/>
    <w:rsid w:val="006D504F"/>
    <w:rsid w:val="006E0CAC"/>
    <w:rsid w:val="006E1CFB"/>
    <w:rsid w:val="006E1F94"/>
    <w:rsid w:val="006E26C1"/>
    <w:rsid w:val="006E2835"/>
    <w:rsid w:val="006E30A8"/>
    <w:rsid w:val="006E45B0"/>
    <w:rsid w:val="006E5692"/>
    <w:rsid w:val="006F176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23"/>
    <w:rsid w:val="007404BC"/>
    <w:rsid w:val="00740D13"/>
    <w:rsid w:val="00740F5F"/>
    <w:rsid w:val="00742794"/>
    <w:rsid w:val="00742CA1"/>
    <w:rsid w:val="00743C4C"/>
    <w:rsid w:val="007445B7"/>
    <w:rsid w:val="00744920"/>
    <w:rsid w:val="007509BE"/>
    <w:rsid w:val="00752283"/>
    <w:rsid w:val="0075287B"/>
    <w:rsid w:val="0075505D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4F0"/>
    <w:rsid w:val="00915568"/>
    <w:rsid w:val="00917E0C"/>
    <w:rsid w:val="00920711"/>
    <w:rsid w:val="00921A1E"/>
    <w:rsid w:val="0092222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F65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764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917"/>
    <w:rsid w:val="00A07689"/>
    <w:rsid w:val="00A07906"/>
    <w:rsid w:val="00A10908"/>
    <w:rsid w:val="00A10DA5"/>
    <w:rsid w:val="00A12330"/>
    <w:rsid w:val="00A1259F"/>
    <w:rsid w:val="00A1446F"/>
    <w:rsid w:val="00A151B5"/>
    <w:rsid w:val="00A161C9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15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DE4"/>
    <w:rsid w:val="00AD7780"/>
    <w:rsid w:val="00AE2263"/>
    <w:rsid w:val="00AE248E"/>
    <w:rsid w:val="00AE2D12"/>
    <w:rsid w:val="00AE2F06"/>
    <w:rsid w:val="00AE4F1C"/>
    <w:rsid w:val="00AF03D3"/>
    <w:rsid w:val="00AF1433"/>
    <w:rsid w:val="00AF48B4"/>
    <w:rsid w:val="00AF4923"/>
    <w:rsid w:val="00AF7C74"/>
    <w:rsid w:val="00B000AF"/>
    <w:rsid w:val="00B026E5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1BF"/>
    <w:rsid w:val="00B17981"/>
    <w:rsid w:val="00B233BB"/>
    <w:rsid w:val="00B25612"/>
    <w:rsid w:val="00B26437"/>
    <w:rsid w:val="00B2678E"/>
    <w:rsid w:val="00B30647"/>
    <w:rsid w:val="00B31F0E"/>
    <w:rsid w:val="00B34F25"/>
    <w:rsid w:val="00B425B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561"/>
    <w:rsid w:val="00B80532"/>
    <w:rsid w:val="00B82039"/>
    <w:rsid w:val="00B82454"/>
    <w:rsid w:val="00B90097"/>
    <w:rsid w:val="00B90999"/>
    <w:rsid w:val="00B91AD7"/>
    <w:rsid w:val="00B92D23"/>
    <w:rsid w:val="00B944CC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8D8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E64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54C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3E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551"/>
    <w:rsid w:val="00CF3BE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9A2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AAF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72A"/>
    <w:rsid w:val="00DB311F"/>
    <w:rsid w:val="00DB53C6"/>
    <w:rsid w:val="00DB59E3"/>
    <w:rsid w:val="00DB6CB6"/>
    <w:rsid w:val="00DB758F"/>
    <w:rsid w:val="00DC1708"/>
    <w:rsid w:val="00DC1F1B"/>
    <w:rsid w:val="00DC1FFD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377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141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D1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161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088F38-E9C5-49BE-B15A-C23EEC4F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049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49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49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4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4917"/>
    <w:rPr>
      <w:b/>
      <w:bCs/>
    </w:rPr>
  </w:style>
  <w:style w:type="paragraph" w:styleId="Revision">
    <w:name w:val="Revision"/>
    <w:hidden/>
    <w:uiPriority w:val="99"/>
    <w:semiHidden/>
    <w:rsid w:val="00C475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4488</Characters>
  <Application>Microsoft Office Word</Application>
  <DocSecurity>4</DocSecurity>
  <Lines>101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HB02333 (Committee Report (Substituted))</vt:lpstr>
    </vt:vector>
  </TitlesOfParts>
  <Company>State of Texas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24644</dc:subject>
  <dc:creator>State of Texas</dc:creator>
  <dc:description>HB 2333 by Allison-(H)Judiciary &amp; Civil Jurisprudence (Substitute Document Number: 88R 23115)</dc:description>
  <cp:lastModifiedBy>Matthew Lee</cp:lastModifiedBy>
  <cp:revision>2</cp:revision>
  <cp:lastPrinted>2003-11-26T17:21:00Z</cp:lastPrinted>
  <dcterms:created xsi:type="dcterms:W3CDTF">2023-04-28T20:06:00Z</dcterms:created>
  <dcterms:modified xsi:type="dcterms:W3CDTF">2023-04-28T20:06:00Z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23.110.1762</vt:lpwstr>
  </property>
</Properties>
</file>