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275825" w14:paraId="4259870E" w14:textId="77777777" w:rsidTr="00345119">
        <w:tc>
          <w:tcPr>
            <w:tcW w:w="9576" w:type="dxa"/>
            <w:noWrap/>
          </w:tcPr>
          <w:p w14:paraId="68D8058B" w14:textId="77777777" w:rsidR="008423E4" w:rsidRPr="0022177D" w:rsidRDefault="00E45DFE" w:rsidP="009052D8">
            <w:pPr>
              <w:pStyle w:val="Heading1"/>
            </w:pPr>
            <w:r w:rsidRPr="00631897">
              <w:t>BILL ANALYSIS</w:t>
            </w:r>
          </w:p>
        </w:tc>
      </w:tr>
    </w:tbl>
    <w:p w14:paraId="7F9EEA97" w14:textId="77777777" w:rsidR="008423E4" w:rsidRPr="0022177D" w:rsidRDefault="008423E4" w:rsidP="009052D8">
      <w:pPr>
        <w:jc w:val="center"/>
      </w:pPr>
    </w:p>
    <w:p w14:paraId="0E9AA024" w14:textId="77777777" w:rsidR="008423E4" w:rsidRPr="00B31F0E" w:rsidRDefault="008423E4" w:rsidP="009052D8"/>
    <w:p w14:paraId="5CFE2D2A" w14:textId="77777777" w:rsidR="008423E4" w:rsidRPr="00742794" w:rsidRDefault="008423E4" w:rsidP="009052D8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275825" w14:paraId="0752EAFD" w14:textId="77777777" w:rsidTr="00345119">
        <w:tc>
          <w:tcPr>
            <w:tcW w:w="9576" w:type="dxa"/>
          </w:tcPr>
          <w:p w14:paraId="1E1784EB" w14:textId="21EFA9DA" w:rsidR="008423E4" w:rsidRPr="00861995" w:rsidRDefault="00E45DFE" w:rsidP="009052D8">
            <w:pPr>
              <w:jc w:val="right"/>
            </w:pPr>
            <w:r>
              <w:t>C.S.H.B. 2345</w:t>
            </w:r>
          </w:p>
        </w:tc>
      </w:tr>
      <w:tr w:rsidR="00275825" w14:paraId="0DE1BC8B" w14:textId="77777777" w:rsidTr="00345119">
        <w:tc>
          <w:tcPr>
            <w:tcW w:w="9576" w:type="dxa"/>
          </w:tcPr>
          <w:p w14:paraId="130DA78E" w14:textId="1B7B0F07" w:rsidR="008423E4" w:rsidRPr="00861995" w:rsidRDefault="00E45DFE" w:rsidP="009052D8">
            <w:pPr>
              <w:jc w:val="right"/>
            </w:pPr>
            <w:r>
              <w:t xml:space="preserve">By: </w:t>
            </w:r>
            <w:r w:rsidR="00D465C1">
              <w:t>Guillen</w:t>
            </w:r>
          </w:p>
        </w:tc>
      </w:tr>
      <w:tr w:rsidR="00275825" w14:paraId="440DD6A3" w14:textId="77777777" w:rsidTr="00345119">
        <w:tc>
          <w:tcPr>
            <w:tcW w:w="9576" w:type="dxa"/>
          </w:tcPr>
          <w:p w14:paraId="280ADEB0" w14:textId="40F37663" w:rsidR="008423E4" w:rsidRPr="00861995" w:rsidRDefault="00E45DFE" w:rsidP="009052D8">
            <w:pPr>
              <w:jc w:val="right"/>
            </w:pPr>
            <w:r>
              <w:t>Licensing &amp; Administrative Procedures</w:t>
            </w:r>
          </w:p>
        </w:tc>
      </w:tr>
      <w:tr w:rsidR="00275825" w14:paraId="4DD9B475" w14:textId="77777777" w:rsidTr="00345119">
        <w:tc>
          <w:tcPr>
            <w:tcW w:w="9576" w:type="dxa"/>
          </w:tcPr>
          <w:p w14:paraId="61EFF6BE" w14:textId="3C82F154" w:rsidR="008423E4" w:rsidRDefault="00E45DFE" w:rsidP="009052D8">
            <w:pPr>
              <w:jc w:val="right"/>
            </w:pPr>
            <w:r>
              <w:t>Committee Report (Substituted)</w:t>
            </w:r>
          </w:p>
        </w:tc>
      </w:tr>
    </w:tbl>
    <w:p w14:paraId="33ECD9C0" w14:textId="77777777" w:rsidR="008423E4" w:rsidRDefault="008423E4" w:rsidP="009052D8">
      <w:pPr>
        <w:tabs>
          <w:tab w:val="right" w:pos="9360"/>
        </w:tabs>
      </w:pPr>
    </w:p>
    <w:p w14:paraId="206A6E26" w14:textId="77777777" w:rsidR="008423E4" w:rsidRDefault="008423E4" w:rsidP="009052D8"/>
    <w:p w14:paraId="2E1061A7" w14:textId="77777777" w:rsidR="008423E4" w:rsidRDefault="008423E4" w:rsidP="009052D8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275825" w14:paraId="626D8DB5" w14:textId="77777777" w:rsidTr="004657CD">
        <w:tc>
          <w:tcPr>
            <w:tcW w:w="9360" w:type="dxa"/>
          </w:tcPr>
          <w:p w14:paraId="457EFFD6" w14:textId="77777777" w:rsidR="008423E4" w:rsidRPr="00A8133F" w:rsidRDefault="00E45DFE" w:rsidP="009052D8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3429891D" w14:textId="77777777" w:rsidR="008423E4" w:rsidRDefault="008423E4" w:rsidP="009052D8"/>
          <w:p w14:paraId="387DE53E" w14:textId="4240CDB3" w:rsidR="008423E4" w:rsidRDefault="00E45DFE" w:rsidP="009052D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 w:rsidRPr="003069C8">
              <w:rPr>
                <w:noProof/>
              </w:rPr>
              <w:t xml:space="preserve">Under current law, there is no definition of </w:t>
            </w:r>
            <w:r>
              <w:rPr>
                <w:noProof/>
              </w:rPr>
              <w:t>"</w:t>
            </w:r>
            <w:r w:rsidRPr="003069C8">
              <w:rPr>
                <w:noProof/>
              </w:rPr>
              <w:t>economic benefit</w:t>
            </w:r>
            <w:r>
              <w:rPr>
                <w:noProof/>
              </w:rPr>
              <w:t>"</w:t>
            </w:r>
            <w:r w:rsidRPr="003069C8">
              <w:rPr>
                <w:noProof/>
              </w:rPr>
              <w:t xml:space="preserve"> in response to winning a game of skill or luck</w:t>
            </w:r>
            <w:r>
              <w:rPr>
                <w:noProof/>
              </w:rPr>
              <w:t>.</w:t>
            </w:r>
            <w:r w:rsidRPr="003069C8">
              <w:rPr>
                <w:noProof/>
              </w:rPr>
              <w:t xml:space="preserve"> </w:t>
            </w:r>
            <w:r>
              <w:rPr>
                <w:noProof/>
              </w:rPr>
              <w:t>Additionally</w:t>
            </w:r>
            <w:r w:rsidRPr="003069C8">
              <w:rPr>
                <w:noProof/>
              </w:rPr>
              <w:t xml:space="preserve">, there is a </w:t>
            </w:r>
            <w:r>
              <w:rPr>
                <w:noProof/>
              </w:rPr>
              <w:t>need for</w:t>
            </w:r>
            <w:r w:rsidRPr="003069C8">
              <w:rPr>
                <w:noProof/>
              </w:rPr>
              <w:t xml:space="preserve"> clarification</w:t>
            </w:r>
            <w:r>
              <w:rPr>
                <w:noProof/>
              </w:rPr>
              <w:t xml:space="preserve"> regarding</w:t>
            </w:r>
            <w:r>
              <w:t xml:space="preserve"> the definition of a "</w:t>
            </w:r>
            <w:r w:rsidRPr="00692B43">
              <w:rPr>
                <w:noProof/>
              </w:rPr>
              <w:t>private place</w:t>
            </w:r>
            <w:r>
              <w:rPr>
                <w:noProof/>
              </w:rPr>
              <w:t xml:space="preserve">" with respect to Penal Code provisions relating to gambling offenses, specifically </w:t>
            </w:r>
            <w:r w:rsidRPr="003069C8">
              <w:rPr>
                <w:noProof/>
              </w:rPr>
              <w:t xml:space="preserve">how the public may or may not </w:t>
            </w:r>
            <w:r>
              <w:rPr>
                <w:noProof/>
              </w:rPr>
              <w:t>h</w:t>
            </w:r>
            <w:r>
              <w:rPr>
                <w:noProof/>
              </w:rPr>
              <w:t xml:space="preserve">ave </w:t>
            </w:r>
            <w:r w:rsidRPr="003069C8">
              <w:rPr>
                <w:noProof/>
              </w:rPr>
              <w:t>access</w:t>
            </w:r>
            <w:r>
              <w:rPr>
                <w:noProof/>
              </w:rPr>
              <w:t xml:space="preserve"> to the place, and a need to</w:t>
            </w:r>
            <w:r w:rsidRPr="00917EBC">
              <w:t xml:space="preserve"> </w:t>
            </w:r>
            <w:r>
              <w:t>establish certain exceptions to the applicability of those provisions, including providing for gambling that occurs in a private place. C.S.H.B. 2345</w:t>
            </w:r>
            <w:r w:rsidRPr="00E208A3">
              <w:t xml:space="preserve"> seeks to </w:t>
            </w:r>
            <w:r>
              <w:t>provide for</w:t>
            </w:r>
            <w:r w:rsidRPr="00E208A3">
              <w:t xml:space="preserve"> the definition of </w:t>
            </w:r>
            <w:r>
              <w:t>"</w:t>
            </w:r>
            <w:r w:rsidRPr="00E208A3">
              <w:t>economic benefit</w:t>
            </w:r>
            <w:r>
              <w:t>"</w:t>
            </w:r>
            <w:r w:rsidRPr="00E208A3">
              <w:t xml:space="preserve"> </w:t>
            </w:r>
            <w:r>
              <w:t xml:space="preserve">and </w:t>
            </w:r>
            <w:r w:rsidRPr="00E208A3">
              <w:t>clari</w:t>
            </w:r>
            <w:r w:rsidRPr="00E208A3">
              <w:t>fy th</w:t>
            </w:r>
            <w:r>
              <w:t>e definition of "</w:t>
            </w:r>
            <w:r w:rsidRPr="00E208A3">
              <w:t>private place</w:t>
            </w:r>
            <w:r>
              <w:t>"</w:t>
            </w:r>
            <w:r w:rsidRPr="00E208A3">
              <w:t xml:space="preserve"> </w:t>
            </w:r>
            <w:r>
              <w:t>with respect to provisions relating to gambling and certain gambling criminal offenses</w:t>
            </w:r>
            <w:r w:rsidRPr="00E208A3">
              <w:t>.</w:t>
            </w:r>
            <w:r>
              <w:t xml:space="preserve"> </w:t>
            </w:r>
            <w:r w:rsidRPr="00917EBC">
              <w:t xml:space="preserve">The bill </w:t>
            </w:r>
            <w:r>
              <w:t>also creates certain exceptions to the application of the offense of gambling promotion</w:t>
            </w:r>
            <w:r w:rsidR="00454280">
              <w:t xml:space="preserve"> and changes certain defenses to prosecution for gambling and keeping a gambling place to exceptions to the application of those offenses</w:t>
            </w:r>
            <w:r w:rsidRPr="00917EBC">
              <w:t>.</w:t>
            </w:r>
          </w:p>
          <w:p w14:paraId="50D04ED8" w14:textId="77777777" w:rsidR="008423E4" w:rsidRPr="00E26B13" w:rsidRDefault="008423E4" w:rsidP="009052D8">
            <w:pPr>
              <w:rPr>
                <w:b/>
              </w:rPr>
            </w:pPr>
          </w:p>
        </w:tc>
      </w:tr>
      <w:tr w:rsidR="00275825" w14:paraId="76CAA0E3" w14:textId="77777777" w:rsidTr="004657CD">
        <w:tc>
          <w:tcPr>
            <w:tcW w:w="9360" w:type="dxa"/>
          </w:tcPr>
          <w:p w14:paraId="1FE23F68" w14:textId="77777777" w:rsidR="0017725B" w:rsidRDefault="00E45DFE" w:rsidP="009052D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45A74CC7" w14:textId="77777777" w:rsidR="0017725B" w:rsidRDefault="0017725B" w:rsidP="009052D8">
            <w:pPr>
              <w:rPr>
                <w:b/>
                <w:u w:val="single"/>
              </w:rPr>
            </w:pPr>
          </w:p>
          <w:p w14:paraId="3E393985" w14:textId="74F9B336" w:rsidR="0017725B" w:rsidRPr="0017725B" w:rsidRDefault="00E45DFE" w:rsidP="009052D8">
            <w:pPr>
              <w:jc w:val="both"/>
            </w:pPr>
            <w:r>
              <w:t xml:space="preserve">It is the committee's opinion that this bill does not expressly create a criminal offense, increase the punishment for an </w:t>
            </w:r>
            <w:r>
              <w:t>existing criminal offense or category of offenses, or change the eligibility of a person for community supervision, parole, or mandatory supervision.</w:t>
            </w:r>
          </w:p>
          <w:p w14:paraId="34608B3E" w14:textId="77777777" w:rsidR="0017725B" w:rsidRPr="0017725B" w:rsidRDefault="0017725B" w:rsidP="009052D8">
            <w:pPr>
              <w:rPr>
                <w:b/>
                <w:u w:val="single"/>
              </w:rPr>
            </w:pPr>
          </w:p>
        </w:tc>
      </w:tr>
      <w:tr w:rsidR="00275825" w14:paraId="7B412E64" w14:textId="77777777" w:rsidTr="004657CD">
        <w:tc>
          <w:tcPr>
            <w:tcW w:w="9360" w:type="dxa"/>
          </w:tcPr>
          <w:p w14:paraId="568B1CB9" w14:textId="77777777" w:rsidR="008423E4" w:rsidRPr="00A8133F" w:rsidRDefault="00E45DFE" w:rsidP="009052D8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31D9D394" w14:textId="77777777" w:rsidR="008423E4" w:rsidRDefault="008423E4" w:rsidP="009052D8"/>
          <w:p w14:paraId="0C969D99" w14:textId="342889D9" w:rsidR="008423E4" w:rsidRDefault="00E45DFE" w:rsidP="009052D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</w:t>
            </w:r>
            <w:r>
              <w:t>nal rulemaking authority to a state officer, department, agency, or institution.</w:t>
            </w:r>
          </w:p>
          <w:p w14:paraId="0928BF57" w14:textId="77777777" w:rsidR="008423E4" w:rsidRPr="00E21FDC" w:rsidRDefault="008423E4" w:rsidP="009052D8">
            <w:pPr>
              <w:rPr>
                <w:b/>
              </w:rPr>
            </w:pPr>
          </w:p>
        </w:tc>
      </w:tr>
      <w:tr w:rsidR="00275825" w14:paraId="77144FC7" w14:textId="77777777" w:rsidTr="004657CD">
        <w:tc>
          <w:tcPr>
            <w:tcW w:w="9360" w:type="dxa"/>
          </w:tcPr>
          <w:p w14:paraId="0E9D9E9A" w14:textId="77777777" w:rsidR="008423E4" w:rsidRPr="00A8133F" w:rsidRDefault="00E45DFE" w:rsidP="009052D8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4FDA3F8E" w14:textId="77777777" w:rsidR="008423E4" w:rsidRDefault="008423E4" w:rsidP="009052D8"/>
          <w:p w14:paraId="20582F5C" w14:textId="66CB2D9C" w:rsidR="00870940" w:rsidRDefault="00E45DFE" w:rsidP="009052D8">
            <w:pPr>
              <w:pStyle w:val="Header"/>
              <w:jc w:val="both"/>
            </w:pPr>
            <w:r>
              <w:t xml:space="preserve">C.S.H.B. 2345 amends the Penal Code to create an exception to the application of the offense of gambling promotion involving </w:t>
            </w:r>
            <w:r w:rsidRPr="00440E6A">
              <w:t>operat</w:t>
            </w:r>
            <w:r>
              <w:t>ing</w:t>
            </w:r>
            <w:r w:rsidRPr="00440E6A">
              <w:t xml:space="preserve"> or participat</w:t>
            </w:r>
            <w:r>
              <w:t>ing</w:t>
            </w:r>
            <w:r w:rsidRPr="00440E6A">
              <w:t xml:space="preserve"> in the earnings of a gambling place</w:t>
            </w:r>
            <w:r>
              <w:t xml:space="preserve"> if the following conditions are met: </w:t>
            </w:r>
          </w:p>
          <w:p w14:paraId="721DAD7E" w14:textId="3DF71B88" w:rsidR="00870940" w:rsidRDefault="00E45DFE" w:rsidP="009052D8">
            <w:pPr>
              <w:pStyle w:val="Header"/>
              <w:numPr>
                <w:ilvl w:val="0"/>
                <w:numId w:val="2"/>
              </w:numPr>
              <w:jc w:val="both"/>
            </w:pPr>
            <w:r>
              <w:t>the gambling place was located</w:t>
            </w:r>
            <w:r>
              <w:t xml:space="preserve"> in a private place;</w:t>
            </w:r>
          </w:p>
          <w:p w14:paraId="7795A924" w14:textId="56455344" w:rsidR="00870940" w:rsidRDefault="00E45DFE" w:rsidP="009052D8">
            <w:pPr>
              <w:pStyle w:val="Header"/>
              <w:numPr>
                <w:ilvl w:val="0"/>
                <w:numId w:val="2"/>
              </w:numPr>
              <w:jc w:val="both"/>
            </w:pPr>
            <w:r>
              <w:t>the gambling place did not provide any economic benefit other than personal winnings to any person; and</w:t>
            </w:r>
          </w:p>
          <w:p w14:paraId="4386B959" w14:textId="6BE164A5" w:rsidR="00870940" w:rsidRDefault="00E45DFE" w:rsidP="009052D8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</w:pPr>
            <w:r>
              <w:t>except for the advantage of skill or luck, the risks of losing and the chances of winning at the gambling place were the same for a</w:t>
            </w:r>
            <w:r>
              <w:t>ll participants.</w:t>
            </w:r>
          </w:p>
          <w:p w14:paraId="5EFA584D" w14:textId="468E8AFC" w:rsidR="00454280" w:rsidRDefault="00E45DFE" w:rsidP="009052D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bill creates an exception to the application of the offense of gambling promotion in which the actor, for gain, becomes a custodian of anything of value bet or offered to be bet if the following conditions are met:</w:t>
            </w:r>
          </w:p>
          <w:p w14:paraId="0A087C42" w14:textId="77777777" w:rsidR="00454280" w:rsidRDefault="00E45DFE" w:rsidP="009052D8">
            <w:pPr>
              <w:pStyle w:val="Header"/>
              <w:numPr>
                <w:ilvl w:val="0"/>
                <w:numId w:val="3"/>
              </w:numPr>
              <w:jc w:val="both"/>
            </w:pPr>
            <w:r>
              <w:t>the thing of value w</w:t>
            </w:r>
            <w:r>
              <w:t>as bet or offered in a private place;</w:t>
            </w:r>
          </w:p>
          <w:p w14:paraId="76F4F3A9" w14:textId="5D220595" w:rsidR="00454280" w:rsidRDefault="00E45DFE" w:rsidP="009052D8">
            <w:pPr>
              <w:pStyle w:val="Header"/>
              <w:numPr>
                <w:ilvl w:val="0"/>
                <w:numId w:val="3"/>
              </w:numPr>
              <w:jc w:val="both"/>
            </w:pPr>
            <w:r>
              <w:t>the thing of value bet or offered did not provide any economic benefit other than personal winnings to any person; and</w:t>
            </w:r>
          </w:p>
          <w:p w14:paraId="6576C946" w14:textId="2ED97CE4" w:rsidR="00454280" w:rsidRDefault="00E45DFE" w:rsidP="009052D8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jc w:val="both"/>
            </w:pPr>
            <w:r>
              <w:t>except for the advantage of skill or luck, the risks of losing and the chances of winning the thing</w:t>
            </w:r>
            <w:r>
              <w:t xml:space="preserve"> of value bet or offered were the same for all participants.</w:t>
            </w:r>
          </w:p>
          <w:p w14:paraId="22815B22" w14:textId="40DF0B4C" w:rsidR="00870940" w:rsidRDefault="00E45DFE" w:rsidP="009052D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establishes that </w:t>
            </w:r>
            <w:r w:rsidR="00EA74F7">
              <w:t>certain</w:t>
            </w:r>
            <w:r>
              <w:t xml:space="preserve"> conditions that constitute a defense to prosecution for the offense of gambling under current law instead constitute an exception to the application of that offe</w:t>
            </w:r>
            <w:r>
              <w:t>nse and that the conditions that constitute an affirmative defense to prosecution for the offense of keeping a gambling place under current law instead constitute an exception to the application of that offense.</w:t>
            </w:r>
          </w:p>
          <w:p w14:paraId="5791EBFC" w14:textId="77777777" w:rsidR="00870940" w:rsidRDefault="00870940" w:rsidP="009052D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14170B13" w14:textId="77777777" w:rsidR="00870940" w:rsidRDefault="00E45DFE" w:rsidP="009052D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C.S.H.B. 2345, with respect to certain defi</w:t>
            </w:r>
            <w:r>
              <w:t xml:space="preserve">nitions applicable to gambling and certain gambling criminal offenses, does the following: </w:t>
            </w:r>
          </w:p>
          <w:p w14:paraId="53109A4A" w14:textId="77777777" w:rsidR="00870940" w:rsidRDefault="00E45DFE" w:rsidP="009052D8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defines </w:t>
            </w:r>
            <w:r w:rsidRPr="00922E53">
              <w:t>"</w:t>
            </w:r>
            <w:r>
              <w:t>e</w:t>
            </w:r>
            <w:r w:rsidRPr="00922E53">
              <w:t xml:space="preserve">conomic benefit" </w:t>
            </w:r>
            <w:r>
              <w:t>as</w:t>
            </w:r>
            <w:r w:rsidRPr="00922E53">
              <w:t xml:space="preserve"> direct winnings from a game of skill or luck</w:t>
            </w:r>
            <w:r>
              <w:t xml:space="preserve"> and excludes from the term </w:t>
            </w:r>
            <w:r w:rsidRPr="00922E53">
              <w:t xml:space="preserve">a benefit received before a game commences or after </w:t>
            </w:r>
            <w:r w:rsidRPr="00922E53">
              <w:t>payment of the direct winnings from the game</w:t>
            </w:r>
            <w:r>
              <w:t>; and</w:t>
            </w:r>
          </w:p>
          <w:p w14:paraId="3EFBE02D" w14:textId="77777777" w:rsidR="00870940" w:rsidRDefault="00E45DFE" w:rsidP="009052D8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retains the definition of "private place" and the exclusions from that definition but adds the specification that a private place is a place to which </w:t>
            </w:r>
            <w:r w:rsidRPr="009B6577">
              <w:t>the public does not have access without a valid membersh</w:t>
            </w:r>
            <w:r w:rsidRPr="009B6577">
              <w:t>ip, special invitation, or prior grant of permission</w:t>
            </w:r>
            <w:r>
              <w:t xml:space="preserve">. </w:t>
            </w:r>
          </w:p>
          <w:p w14:paraId="5FD3E946" w14:textId="77777777" w:rsidR="00870940" w:rsidRDefault="00870940" w:rsidP="009052D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02C4FA9D" w14:textId="3C55210F" w:rsidR="009C36CD" w:rsidRDefault="00E45DFE" w:rsidP="009052D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2345 </w:t>
            </w:r>
            <w:r w:rsidRPr="00C95E80">
              <w:t>app</w:t>
            </w:r>
            <w:r>
              <w:t>lies</w:t>
            </w:r>
            <w:r w:rsidRPr="00C95E80">
              <w:t xml:space="preserve"> only to an offense committed on or after the </w:t>
            </w:r>
            <w:r w:rsidR="00B10771">
              <w:t xml:space="preserve">bill's </w:t>
            </w:r>
            <w:r w:rsidRPr="00C95E80">
              <w:t>effective date</w:t>
            </w:r>
            <w:r>
              <w:t xml:space="preserve">. The bill provides for the continuation of the law in effect before the bill's effective date for </w:t>
            </w:r>
            <w:r>
              <w:t>purposes of an offense, or any element thereof, that occurred before that date.</w:t>
            </w:r>
          </w:p>
          <w:p w14:paraId="59CF0C36" w14:textId="77777777" w:rsidR="008423E4" w:rsidRPr="00835628" w:rsidRDefault="008423E4" w:rsidP="009052D8">
            <w:pPr>
              <w:rPr>
                <w:b/>
              </w:rPr>
            </w:pPr>
          </w:p>
        </w:tc>
      </w:tr>
      <w:tr w:rsidR="00275825" w14:paraId="15D3F6C8" w14:textId="77777777" w:rsidTr="004657CD">
        <w:tc>
          <w:tcPr>
            <w:tcW w:w="9360" w:type="dxa"/>
          </w:tcPr>
          <w:p w14:paraId="6145862B" w14:textId="18534B65" w:rsidR="008423E4" w:rsidRDefault="00E45DFE" w:rsidP="009052D8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E8018FD" w14:textId="77777777" w:rsidR="00F10AEA" w:rsidRPr="00A8133F" w:rsidRDefault="00F10AEA" w:rsidP="009052D8">
            <w:pPr>
              <w:rPr>
                <w:b/>
              </w:rPr>
            </w:pPr>
          </w:p>
          <w:p w14:paraId="433909A5" w14:textId="6DCD3BAE" w:rsidR="008423E4" w:rsidRDefault="00E45DFE" w:rsidP="009052D8">
            <w:r>
              <w:rPr>
                <w:bCs/>
              </w:rPr>
              <w:t>On passage, or, if the bill does not receive the necessary vote, September 1, 2023.</w:t>
            </w:r>
          </w:p>
          <w:p w14:paraId="262FE0E8" w14:textId="77777777" w:rsidR="008423E4" w:rsidRPr="00233FDB" w:rsidRDefault="008423E4" w:rsidP="009052D8">
            <w:pPr>
              <w:rPr>
                <w:b/>
              </w:rPr>
            </w:pPr>
          </w:p>
        </w:tc>
      </w:tr>
      <w:tr w:rsidR="00275825" w14:paraId="062FB66A" w14:textId="77777777" w:rsidTr="004657CD">
        <w:tc>
          <w:tcPr>
            <w:tcW w:w="9360" w:type="dxa"/>
          </w:tcPr>
          <w:p w14:paraId="3CBD49A4" w14:textId="77777777" w:rsidR="00D465C1" w:rsidRDefault="00E45DFE" w:rsidP="009052D8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093EAAA2" w14:textId="77777777" w:rsidR="00870940" w:rsidRDefault="00870940" w:rsidP="009052D8">
            <w:pPr>
              <w:jc w:val="both"/>
              <w:rPr>
                <w:b/>
                <w:u w:val="single"/>
              </w:rPr>
            </w:pPr>
          </w:p>
          <w:p w14:paraId="4424BDC0" w14:textId="77777777" w:rsidR="00837A85" w:rsidRDefault="00E45DFE" w:rsidP="009052D8">
            <w:pPr>
              <w:jc w:val="both"/>
            </w:pPr>
            <w:r>
              <w:t>While C.S.H.B. 2345 may differ</w:t>
            </w:r>
            <w:r>
              <w:t xml:space="preserve"> from the introduced in minor or nonsubstantive ways, the following summarizes the substantial differences between the introduced and committee substitute versions of the bill.</w:t>
            </w:r>
          </w:p>
          <w:p w14:paraId="509051BB" w14:textId="77777777" w:rsidR="00837A85" w:rsidRDefault="00837A85" w:rsidP="009052D8">
            <w:pPr>
              <w:jc w:val="both"/>
            </w:pPr>
          </w:p>
          <w:p w14:paraId="4B9C4AC0" w14:textId="77777777" w:rsidR="00837A85" w:rsidRDefault="00E45DFE" w:rsidP="009052D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The substitute changes the bill's effective date to provide for its possible i</w:t>
            </w:r>
            <w:r>
              <w:t>mmediate effect, contingent on receiving the requisite constitutional vote, whereas the introduced provided only for the bill to take effect September 1, 2023, with no possibility for immediate effect.</w:t>
            </w:r>
          </w:p>
          <w:p w14:paraId="45EC7D18" w14:textId="77777777" w:rsidR="00837A85" w:rsidRDefault="00837A85" w:rsidP="009052D8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3CDC1825" w14:textId="5A9220F3" w:rsidR="004A5BCD" w:rsidRDefault="00E45DFE" w:rsidP="009052D8">
            <w:pPr>
              <w:jc w:val="both"/>
            </w:pPr>
            <w:r w:rsidRPr="009B3B0B">
              <w:t xml:space="preserve">The substitute includes provisions </w:t>
            </w:r>
            <w:r>
              <w:t>absent from</w:t>
            </w:r>
            <w:r w:rsidRPr="009B3B0B">
              <w:t xml:space="preserve"> the introduced </w:t>
            </w:r>
            <w:r>
              <w:t>that do the following:</w:t>
            </w:r>
          </w:p>
          <w:p w14:paraId="31D98E97" w14:textId="03D82230" w:rsidR="004A5BCD" w:rsidRPr="009052D8" w:rsidRDefault="00E45DFE" w:rsidP="009052D8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  <w:rPr>
                <w:b/>
                <w:u w:val="single"/>
              </w:rPr>
            </w:pPr>
            <w:r>
              <w:t>create certain exceptions to the application of the offense of gambling promotion; and</w:t>
            </w:r>
          </w:p>
          <w:p w14:paraId="79106CED" w14:textId="57DAD684" w:rsidR="00837A85" w:rsidRPr="004A5BCD" w:rsidRDefault="00E45DFE" w:rsidP="009052D8">
            <w:pPr>
              <w:pStyle w:val="ListParagraph"/>
              <w:numPr>
                <w:ilvl w:val="0"/>
                <w:numId w:val="4"/>
              </w:numPr>
              <w:contextualSpacing w:val="0"/>
              <w:jc w:val="both"/>
              <w:rPr>
                <w:b/>
                <w:u w:val="single"/>
              </w:rPr>
            </w:pPr>
            <w:r>
              <w:t xml:space="preserve">revise certain defenses to prosecution for gambling and keeping a gambling place by </w:t>
            </w:r>
            <w:r>
              <w:t xml:space="preserve">making the </w:t>
            </w:r>
            <w:r w:rsidR="004657CD">
              <w:t>conditions</w:t>
            </w:r>
            <w:r>
              <w:t xml:space="preserve"> constituting those defenses instead constitute exceptions to the application of the offenses.</w:t>
            </w:r>
          </w:p>
        </w:tc>
      </w:tr>
    </w:tbl>
    <w:p w14:paraId="7892B3C9" w14:textId="77777777" w:rsidR="008423E4" w:rsidRPr="00BE0E75" w:rsidRDefault="008423E4" w:rsidP="009052D8">
      <w:pPr>
        <w:jc w:val="both"/>
        <w:rPr>
          <w:rFonts w:ascii="Arial" w:hAnsi="Arial"/>
          <w:sz w:val="16"/>
          <w:szCs w:val="16"/>
        </w:rPr>
      </w:pPr>
    </w:p>
    <w:p w14:paraId="2F082EB1" w14:textId="77777777" w:rsidR="004108C3" w:rsidRPr="008423E4" w:rsidRDefault="004108C3" w:rsidP="009052D8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9D8AA" w14:textId="77777777" w:rsidR="00000000" w:rsidRDefault="00E45DFE">
      <w:r>
        <w:separator/>
      </w:r>
    </w:p>
  </w:endnote>
  <w:endnote w:type="continuationSeparator" w:id="0">
    <w:p w14:paraId="66589C50" w14:textId="77777777" w:rsidR="00000000" w:rsidRDefault="00E45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AA64D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275825" w14:paraId="74D1B8FF" w14:textId="77777777" w:rsidTr="009C1E9A">
      <w:trPr>
        <w:cantSplit/>
      </w:trPr>
      <w:tc>
        <w:tcPr>
          <w:tcW w:w="0" w:type="pct"/>
        </w:tcPr>
        <w:p w14:paraId="1D6D728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0ACF974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58EC5D9B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ECFEE1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9ED6F4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75825" w14:paraId="236AF7CC" w14:textId="77777777" w:rsidTr="009C1E9A">
      <w:trPr>
        <w:cantSplit/>
      </w:trPr>
      <w:tc>
        <w:tcPr>
          <w:tcW w:w="0" w:type="pct"/>
        </w:tcPr>
        <w:p w14:paraId="2CB30B2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BC04643" w14:textId="67761825" w:rsidR="00EC379B" w:rsidRPr="009C1E9A" w:rsidRDefault="00E45DFE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26200-D</w:t>
          </w:r>
        </w:p>
      </w:tc>
      <w:tc>
        <w:tcPr>
          <w:tcW w:w="2453" w:type="pct"/>
        </w:tcPr>
        <w:p w14:paraId="4A5469C8" w14:textId="0164724E" w:rsidR="00EC379B" w:rsidRDefault="00E45DFE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B11E4B">
            <w:t>23.115.457</w:t>
          </w:r>
          <w:r>
            <w:fldChar w:fldCharType="end"/>
          </w:r>
        </w:p>
      </w:tc>
    </w:tr>
    <w:tr w:rsidR="00275825" w14:paraId="4E0F6534" w14:textId="77777777" w:rsidTr="009C1E9A">
      <w:trPr>
        <w:cantSplit/>
      </w:trPr>
      <w:tc>
        <w:tcPr>
          <w:tcW w:w="0" w:type="pct"/>
        </w:tcPr>
        <w:p w14:paraId="59B1144A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79644A26" w14:textId="2659E301" w:rsidR="00EC379B" w:rsidRPr="009C1E9A" w:rsidRDefault="00E45DFE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20072</w:t>
          </w:r>
        </w:p>
      </w:tc>
      <w:tc>
        <w:tcPr>
          <w:tcW w:w="2453" w:type="pct"/>
        </w:tcPr>
        <w:p w14:paraId="177D89E5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461FD3DB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275825" w14:paraId="42BE2A7D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FAA6444" w14:textId="77777777" w:rsidR="00EC379B" w:rsidRDefault="00E45DFE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06D55F85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1470C798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EF5D4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C4A16" w14:textId="77777777" w:rsidR="00000000" w:rsidRDefault="00E45DFE">
      <w:r>
        <w:separator/>
      </w:r>
    </w:p>
  </w:footnote>
  <w:footnote w:type="continuationSeparator" w:id="0">
    <w:p w14:paraId="735A4D36" w14:textId="77777777" w:rsidR="00000000" w:rsidRDefault="00E45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0F149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F50FE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B5AFB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E2811"/>
    <w:multiLevelType w:val="hybridMultilevel"/>
    <w:tmpl w:val="81ECAF76"/>
    <w:lvl w:ilvl="0" w:tplc="97507B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BABA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0066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4259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783A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AEA7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DCFB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BE65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CA80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A0B23"/>
    <w:multiLevelType w:val="hybridMultilevel"/>
    <w:tmpl w:val="E696A7D6"/>
    <w:lvl w:ilvl="0" w:tplc="49E2E4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386A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9A29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2071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DA83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9878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E4FE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FA10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1CE9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73702"/>
    <w:multiLevelType w:val="hybridMultilevel"/>
    <w:tmpl w:val="22C417DC"/>
    <w:lvl w:ilvl="0" w:tplc="93604C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20F2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945C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EC66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44A1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C25C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6C94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248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0C93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65E29"/>
    <w:multiLevelType w:val="hybridMultilevel"/>
    <w:tmpl w:val="1788FD80"/>
    <w:lvl w:ilvl="0" w:tplc="415234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F8BB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2EAD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DE23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B2E4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EADD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9254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0E6E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1A23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491892">
    <w:abstractNumId w:val="3"/>
  </w:num>
  <w:num w:numId="2" w16cid:durableId="1392578483">
    <w:abstractNumId w:val="2"/>
  </w:num>
  <w:num w:numId="3" w16cid:durableId="76293949">
    <w:abstractNumId w:val="0"/>
  </w:num>
  <w:num w:numId="4" w16cid:durableId="2086297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40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D7D22"/>
    <w:rsid w:val="000E1976"/>
    <w:rsid w:val="000E20F1"/>
    <w:rsid w:val="000E5B20"/>
    <w:rsid w:val="000E7C14"/>
    <w:rsid w:val="000F094C"/>
    <w:rsid w:val="000F1392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A529B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825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97F73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069C8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0E6A"/>
    <w:rsid w:val="00441016"/>
    <w:rsid w:val="00441F2F"/>
    <w:rsid w:val="0044228B"/>
    <w:rsid w:val="00447018"/>
    <w:rsid w:val="00450561"/>
    <w:rsid w:val="00450A40"/>
    <w:rsid w:val="00451D7C"/>
    <w:rsid w:val="00452FC3"/>
    <w:rsid w:val="00454280"/>
    <w:rsid w:val="00454715"/>
    <w:rsid w:val="00455936"/>
    <w:rsid w:val="00455ACE"/>
    <w:rsid w:val="00461B69"/>
    <w:rsid w:val="00462B3D"/>
    <w:rsid w:val="004657CD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A5BCD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75B1D"/>
    <w:rsid w:val="0068127E"/>
    <w:rsid w:val="00681790"/>
    <w:rsid w:val="006823AA"/>
    <w:rsid w:val="0068302A"/>
    <w:rsid w:val="00684B98"/>
    <w:rsid w:val="00685DC9"/>
    <w:rsid w:val="00687465"/>
    <w:rsid w:val="006907CF"/>
    <w:rsid w:val="00691CCF"/>
    <w:rsid w:val="00692B43"/>
    <w:rsid w:val="00693AF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37A85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0940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52D8"/>
    <w:rsid w:val="00907780"/>
    <w:rsid w:val="00907EDD"/>
    <w:rsid w:val="009107AD"/>
    <w:rsid w:val="00915568"/>
    <w:rsid w:val="00917E0C"/>
    <w:rsid w:val="00917EBC"/>
    <w:rsid w:val="00920711"/>
    <w:rsid w:val="00921A1E"/>
    <w:rsid w:val="00922E53"/>
    <w:rsid w:val="00924EA9"/>
    <w:rsid w:val="00925CE1"/>
    <w:rsid w:val="00925F5C"/>
    <w:rsid w:val="00930897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3B0B"/>
    <w:rsid w:val="009B5069"/>
    <w:rsid w:val="009B6577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729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771"/>
    <w:rsid w:val="00B10DD2"/>
    <w:rsid w:val="00B115DC"/>
    <w:rsid w:val="00B11952"/>
    <w:rsid w:val="00B11E4B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4038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95E80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674A"/>
    <w:rsid w:val="00D37BCF"/>
    <w:rsid w:val="00D40F93"/>
    <w:rsid w:val="00D42277"/>
    <w:rsid w:val="00D43C59"/>
    <w:rsid w:val="00D44ADE"/>
    <w:rsid w:val="00D465C1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2C7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08A3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45DFE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4F7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0AEA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69E"/>
    <w:rsid w:val="00F45AFC"/>
    <w:rsid w:val="00F462F4"/>
    <w:rsid w:val="00F50130"/>
    <w:rsid w:val="00F512D9"/>
    <w:rsid w:val="00F52402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FFF1665-3973-46FE-AD9C-0D19A9DE7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7094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709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7094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709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70940"/>
    <w:rPr>
      <w:b/>
      <w:bCs/>
    </w:rPr>
  </w:style>
  <w:style w:type="paragraph" w:styleId="Revision">
    <w:name w:val="Revision"/>
    <w:hidden/>
    <w:uiPriority w:val="99"/>
    <w:semiHidden/>
    <w:rsid w:val="00D632C7"/>
    <w:rPr>
      <w:sz w:val="24"/>
      <w:szCs w:val="24"/>
    </w:rPr>
  </w:style>
  <w:style w:type="character" w:styleId="Hyperlink">
    <w:name w:val="Hyperlink"/>
    <w:basedOn w:val="DefaultParagraphFont"/>
    <w:unhideWhenUsed/>
    <w:rsid w:val="00B1077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77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A5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772</Words>
  <Characters>4147</Characters>
  <Application>Microsoft Office Word</Application>
  <DocSecurity>4</DocSecurity>
  <Lines>92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HB02345 (Committee Report (Substituted))</vt:lpstr>
    </vt:vector>
  </TitlesOfParts>
  <Company>State of Texas</Company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26200</dc:subject>
  <dc:creator>State of Texas</dc:creator>
  <dc:description>HB 2345 by Guillen-(H)Licensing &amp; Administrative Procedures (Substitute Document Number: 88R 20072)</dc:description>
  <cp:lastModifiedBy>Stacey Nicchio</cp:lastModifiedBy>
  <cp:revision>2</cp:revision>
  <cp:lastPrinted>2003-11-26T17:21:00Z</cp:lastPrinted>
  <dcterms:created xsi:type="dcterms:W3CDTF">2023-04-27T20:16:00Z</dcterms:created>
  <dcterms:modified xsi:type="dcterms:W3CDTF">2023-04-27T20:16:00Z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23.115.457</vt:lpwstr>
  </property>
</Properties>
</file>