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E2C5F" w14:paraId="2D3C3C0F" w14:textId="77777777" w:rsidTr="00345119">
        <w:tc>
          <w:tcPr>
            <w:tcW w:w="9576" w:type="dxa"/>
            <w:noWrap/>
          </w:tcPr>
          <w:p w14:paraId="4506B435" w14:textId="77777777" w:rsidR="008423E4" w:rsidRPr="0022177D" w:rsidRDefault="006F10A6" w:rsidP="00F646E3">
            <w:pPr>
              <w:pStyle w:val="Heading1"/>
            </w:pPr>
            <w:r w:rsidRPr="00631897">
              <w:t>BILL ANALYSIS</w:t>
            </w:r>
          </w:p>
        </w:tc>
      </w:tr>
    </w:tbl>
    <w:p w14:paraId="7AD8D27A" w14:textId="77777777" w:rsidR="008423E4" w:rsidRPr="0022177D" w:rsidRDefault="008423E4" w:rsidP="00F646E3">
      <w:pPr>
        <w:jc w:val="center"/>
      </w:pPr>
    </w:p>
    <w:p w14:paraId="6B0F9A03" w14:textId="77777777" w:rsidR="008423E4" w:rsidRPr="00B31F0E" w:rsidRDefault="008423E4" w:rsidP="00F646E3"/>
    <w:p w14:paraId="5094637E" w14:textId="77777777" w:rsidR="008423E4" w:rsidRPr="00742794" w:rsidRDefault="008423E4" w:rsidP="00F646E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E2C5F" w14:paraId="5C7E6641" w14:textId="77777777" w:rsidTr="00345119">
        <w:tc>
          <w:tcPr>
            <w:tcW w:w="9576" w:type="dxa"/>
          </w:tcPr>
          <w:p w14:paraId="67B9C318" w14:textId="30C4FFE6" w:rsidR="008423E4" w:rsidRPr="00861995" w:rsidRDefault="006F10A6" w:rsidP="00F646E3">
            <w:pPr>
              <w:jc w:val="right"/>
            </w:pPr>
            <w:r>
              <w:t>H.B. 2350</w:t>
            </w:r>
          </w:p>
        </w:tc>
      </w:tr>
      <w:tr w:rsidR="001E2C5F" w14:paraId="59544D46" w14:textId="77777777" w:rsidTr="00345119">
        <w:tc>
          <w:tcPr>
            <w:tcW w:w="9576" w:type="dxa"/>
          </w:tcPr>
          <w:p w14:paraId="7825B316" w14:textId="693CA142" w:rsidR="008423E4" w:rsidRPr="00861995" w:rsidRDefault="006F10A6" w:rsidP="00F646E3">
            <w:pPr>
              <w:jc w:val="right"/>
            </w:pPr>
            <w:r>
              <w:t xml:space="preserve">By: </w:t>
            </w:r>
            <w:r w:rsidR="00067507">
              <w:t>Harris, Cody</w:t>
            </w:r>
          </w:p>
        </w:tc>
      </w:tr>
      <w:tr w:rsidR="001E2C5F" w14:paraId="3F091BC5" w14:textId="77777777" w:rsidTr="00345119">
        <w:tc>
          <w:tcPr>
            <w:tcW w:w="9576" w:type="dxa"/>
          </w:tcPr>
          <w:p w14:paraId="1225610E" w14:textId="43BB44CF" w:rsidR="008423E4" w:rsidRPr="00861995" w:rsidRDefault="006F10A6" w:rsidP="00F646E3">
            <w:pPr>
              <w:jc w:val="right"/>
            </w:pPr>
            <w:r>
              <w:t>Licensing &amp; Administrative Procedures</w:t>
            </w:r>
          </w:p>
        </w:tc>
      </w:tr>
      <w:tr w:rsidR="001E2C5F" w14:paraId="1F42E25F" w14:textId="77777777" w:rsidTr="00345119">
        <w:tc>
          <w:tcPr>
            <w:tcW w:w="9576" w:type="dxa"/>
          </w:tcPr>
          <w:p w14:paraId="5B7B2B8F" w14:textId="71CF8D1B" w:rsidR="008423E4" w:rsidRDefault="006F10A6" w:rsidP="00F646E3">
            <w:pPr>
              <w:jc w:val="right"/>
            </w:pPr>
            <w:r>
              <w:t>Committee Report (Unamended)</w:t>
            </w:r>
          </w:p>
        </w:tc>
      </w:tr>
    </w:tbl>
    <w:p w14:paraId="63F30CAF" w14:textId="77777777" w:rsidR="008423E4" w:rsidRDefault="008423E4" w:rsidP="00F646E3">
      <w:pPr>
        <w:tabs>
          <w:tab w:val="right" w:pos="9360"/>
        </w:tabs>
      </w:pPr>
    </w:p>
    <w:p w14:paraId="7E3A7BEC" w14:textId="77777777" w:rsidR="008423E4" w:rsidRDefault="008423E4" w:rsidP="00F646E3"/>
    <w:p w14:paraId="24B11196" w14:textId="77777777" w:rsidR="008423E4" w:rsidRDefault="008423E4" w:rsidP="00F646E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E2C5F" w14:paraId="254A3AC3" w14:textId="77777777" w:rsidTr="00345119">
        <w:tc>
          <w:tcPr>
            <w:tcW w:w="9576" w:type="dxa"/>
          </w:tcPr>
          <w:p w14:paraId="37FC5CEB" w14:textId="77777777" w:rsidR="008423E4" w:rsidRPr="00A8133F" w:rsidRDefault="006F10A6" w:rsidP="00F646E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7856A67" w14:textId="77777777" w:rsidR="008423E4" w:rsidRDefault="008423E4" w:rsidP="00F646E3"/>
          <w:p w14:paraId="044FD2C1" w14:textId="08A1A2FE" w:rsidR="008423E4" w:rsidRDefault="006F10A6" w:rsidP="00F646E3">
            <w:pPr>
              <w:pStyle w:val="Header"/>
              <w:jc w:val="both"/>
            </w:pPr>
            <w:r w:rsidRPr="004B5CA4">
              <w:t xml:space="preserve">Several Texas occupations are over-burdened by duplicative licensing requirements. While many Texas </w:t>
            </w:r>
            <w:r w:rsidRPr="004B5CA4">
              <w:t>professionals are required to undertake a licensure or registration process implemented by the state, many municipalities have implemented additional licensing requirements for those same professions, essentially requiring twice the work with no real added</w:t>
            </w:r>
            <w:r w:rsidRPr="004B5CA4">
              <w:t xml:space="preserve"> benefit to the public for Texas professionals simply to conduct their trade.</w:t>
            </w:r>
            <w:r>
              <w:t xml:space="preserve"> </w:t>
            </w:r>
            <w:r w:rsidR="009533F2">
              <w:t>Some</w:t>
            </w:r>
            <w:r w:rsidRPr="004B5CA4">
              <w:t xml:space="preserve"> </w:t>
            </w:r>
            <w:r w:rsidR="00215EE3">
              <w:t>municipalities</w:t>
            </w:r>
            <w:r w:rsidR="00215EE3" w:rsidRPr="004B5CA4">
              <w:t xml:space="preserve"> </w:t>
            </w:r>
            <w:r w:rsidR="009533F2">
              <w:t xml:space="preserve">may </w:t>
            </w:r>
            <w:r w:rsidR="00215EE3">
              <w:t xml:space="preserve">also </w:t>
            </w:r>
            <w:r w:rsidRPr="004B5CA4">
              <w:t>maintain continuing education requirements for certain professions totally independent of coexisting state requirements</w:t>
            </w:r>
            <w:r w:rsidR="009533F2">
              <w:t xml:space="preserve">. </w:t>
            </w:r>
            <w:r w:rsidRPr="004B5CA4">
              <w:t xml:space="preserve">These </w:t>
            </w:r>
            <w:r w:rsidR="009533F2">
              <w:t>often unnecessary and sometimes</w:t>
            </w:r>
            <w:r w:rsidRPr="004B5CA4">
              <w:t xml:space="preserve"> duplicative requirements</w:t>
            </w:r>
            <w:r w:rsidR="00215EE3">
              <w:t xml:space="preserve"> </w:t>
            </w:r>
            <w:r w:rsidRPr="004B5CA4">
              <w:t>can</w:t>
            </w:r>
            <w:r w:rsidR="009533F2">
              <w:t xml:space="preserve"> impose</w:t>
            </w:r>
            <w:r w:rsidRPr="004B5CA4">
              <w:t xml:space="preserve"> additional </w:t>
            </w:r>
            <w:r w:rsidR="009533F2">
              <w:t xml:space="preserve">costly </w:t>
            </w:r>
            <w:r w:rsidRPr="004B5CA4">
              <w:t>fees and dozens of hours in additional work for Texas professionals over the course of their careers and are particularly burdensome for those professionals who operate in multiple cities with</w:t>
            </w:r>
            <w:r w:rsidRPr="004B5CA4">
              <w:t xml:space="preserve"> varying licensure requirements.</w:t>
            </w:r>
            <w:r>
              <w:t xml:space="preserve"> H</w:t>
            </w:r>
            <w:r w:rsidR="00215EE3">
              <w:t>.</w:t>
            </w:r>
            <w:r>
              <w:t>B</w:t>
            </w:r>
            <w:r w:rsidR="00215EE3">
              <w:t>.</w:t>
            </w:r>
            <w:r>
              <w:t xml:space="preserve"> 2350</w:t>
            </w:r>
            <w:r w:rsidR="00215EE3">
              <w:t xml:space="preserve"> seeks to lessen the economic and logistical burden these requirements inevitably place on Texas professionals by</w:t>
            </w:r>
            <w:r>
              <w:t xml:space="preserve"> preempt</w:t>
            </w:r>
            <w:r w:rsidR="00215EE3">
              <w:t>ing</w:t>
            </w:r>
            <w:r>
              <w:t xml:space="preserve"> those licensing requirements that affect professions already regulated by the state</w:t>
            </w:r>
            <w:r w:rsidR="00215EE3">
              <w:t xml:space="preserve">, without preempting </w:t>
            </w:r>
            <w:r>
              <w:t>any municipal occupational licensing requirement for professions not licensed by the state.</w:t>
            </w:r>
          </w:p>
          <w:p w14:paraId="0554E7B8" w14:textId="77777777" w:rsidR="008423E4" w:rsidRPr="00E26B13" w:rsidRDefault="008423E4" w:rsidP="00F646E3">
            <w:pPr>
              <w:rPr>
                <w:b/>
              </w:rPr>
            </w:pPr>
          </w:p>
        </w:tc>
      </w:tr>
      <w:tr w:rsidR="001E2C5F" w14:paraId="5954C421" w14:textId="77777777" w:rsidTr="00345119">
        <w:tc>
          <w:tcPr>
            <w:tcW w:w="9576" w:type="dxa"/>
          </w:tcPr>
          <w:p w14:paraId="2BBD182B" w14:textId="77777777" w:rsidR="0017725B" w:rsidRDefault="006F10A6" w:rsidP="00F646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54EE7C" w14:textId="77777777" w:rsidR="0017725B" w:rsidRDefault="0017725B" w:rsidP="00F646E3">
            <w:pPr>
              <w:rPr>
                <w:b/>
                <w:u w:val="single"/>
              </w:rPr>
            </w:pPr>
          </w:p>
          <w:p w14:paraId="5A477CB0" w14:textId="03875930" w:rsidR="00BF1CED" w:rsidRPr="00BF1CED" w:rsidRDefault="006F10A6" w:rsidP="00F646E3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32289123" w14:textId="77777777" w:rsidR="0017725B" w:rsidRPr="0017725B" w:rsidRDefault="0017725B" w:rsidP="00F646E3">
            <w:pPr>
              <w:rPr>
                <w:b/>
                <w:u w:val="single"/>
              </w:rPr>
            </w:pPr>
          </w:p>
        </w:tc>
      </w:tr>
      <w:tr w:rsidR="001E2C5F" w14:paraId="46D82A3E" w14:textId="77777777" w:rsidTr="00345119">
        <w:tc>
          <w:tcPr>
            <w:tcW w:w="9576" w:type="dxa"/>
          </w:tcPr>
          <w:p w14:paraId="23F50CB8" w14:textId="77777777" w:rsidR="008423E4" w:rsidRPr="00A8133F" w:rsidRDefault="006F10A6" w:rsidP="00F646E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AF5A372" w14:textId="77777777" w:rsidR="008423E4" w:rsidRDefault="008423E4" w:rsidP="00F646E3"/>
          <w:p w14:paraId="48D8C455" w14:textId="3EF0BAD5" w:rsidR="00BF1CED" w:rsidRDefault="006F10A6" w:rsidP="00F646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74D5BD9D" w14:textId="77777777" w:rsidR="008423E4" w:rsidRPr="00E21FDC" w:rsidRDefault="008423E4" w:rsidP="00F646E3">
            <w:pPr>
              <w:rPr>
                <w:b/>
              </w:rPr>
            </w:pPr>
          </w:p>
        </w:tc>
      </w:tr>
      <w:tr w:rsidR="001E2C5F" w14:paraId="409C2C1D" w14:textId="77777777" w:rsidTr="00345119">
        <w:tc>
          <w:tcPr>
            <w:tcW w:w="9576" w:type="dxa"/>
          </w:tcPr>
          <w:p w14:paraId="6DD97040" w14:textId="77777777" w:rsidR="008423E4" w:rsidRPr="00A8133F" w:rsidRDefault="006F10A6" w:rsidP="00F646E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B43E63" w14:textId="77777777" w:rsidR="008423E4" w:rsidRDefault="008423E4" w:rsidP="00F646E3"/>
          <w:p w14:paraId="22CA2E9D" w14:textId="46D017E8" w:rsidR="009C36CD" w:rsidRDefault="006F10A6" w:rsidP="00F646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2350 amends the Occupations Code to </w:t>
            </w:r>
            <w:r w:rsidR="005B266C">
              <w:t xml:space="preserve">preempt certain local occupational regulations by </w:t>
            </w:r>
            <w:r w:rsidR="001961F9">
              <w:t>prohibit</w:t>
            </w:r>
            <w:r w:rsidR="005B266C">
              <w:t>ing</w:t>
            </w:r>
            <w:r w:rsidR="001961F9">
              <w:t xml:space="preserve"> </w:t>
            </w:r>
            <w:r w:rsidR="001961F9" w:rsidRPr="001961F9">
              <w:t xml:space="preserve">a political subdivision </w:t>
            </w:r>
            <w:r w:rsidR="003702F0">
              <w:t xml:space="preserve">of the state </w:t>
            </w:r>
            <w:r w:rsidR="001961F9">
              <w:t xml:space="preserve">from adopting or enforcing </w:t>
            </w:r>
            <w:r w:rsidR="001961F9" w:rsidRPr="001961F9">
              <w:t xml:space="preserve">any ordinance, order, rule, regulation, law, or policy </w:t>
            </w:r>
            <w:r w:rsidR="000E56FA">
              <w:t xml:space="preserve">with respect to </w:t>
            </w:r>
            <w:r w:rsidR="001961F9" w:rsidRPr="001961F9">
              <w:t xml:space="preserve">a person </w:t>
            </w:r>
            <w:r w:rsidR="000E56FA">
              <w:t xml:space="preserve">who </w:t>
            </w:r>
            <w:r w:rsidR="001961F9" w:rsidRPr="001961F9">
              <w:t>is required to possess an occupational license issued by a state licensing authority to engage in an occupation</w:t>
            </w:r>
            <w:r w:rsidR="005B266C" w:rsidRPr="001961F9">
              <w:t xml:space="preserve"> that</w:t>
            </w:r>
            <w:r w:rsidR="005B266C">
              <w:t>, as follows</w:t>
            </w:r>
            <w:r w:rsidR="001961F9">
              <w:t>:</w:t>
            </w:r>
          </w:p>
          <w:p w14:paraId="474F60F0" w14:textId="77133253" w:rsidR="001961F9" w:rsidRDefault="006F10A6" w:rsidP="00F646E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requires the person to possess an occupational license issued by the political subdivision to engage in that occupation; or</w:t>
            </w:r>
          </w:p>
          <w:p w14:paraId="2F739040" w14:textId="70EF8344" w:rsidR="001961F9" w:rsidRDefault="006F10A6" w:rsidP="00F646E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is more stringent than or is inconsistent with </w:t>
            </w:r>
            <w:r w:rsidR="000E56FA">
              <w:t>state</w:t>
            </w:r>
            <w:r>
              <w:t xml:space="preserve"> law or a rule adopted by the applicable state licensing a</w:t>
            </w:r>
            <w:r>
              <w:t>uthority and that regulates in any manner a contract entered into between the person and a member of the public for the purchase of goods or services from the person.</w:t>
            </w:r>
          </w:p>
          <w:p w14:paraId="04C94967" w14:textId="0D874FAC" w:rsidR="00AB70C1" w:rsidRDefault="006F10A6" w:rsidP="00F646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5B266C">
              <w:t>renders</w:t>
            </w:r>
            <w:r w:rsidR="000E56FA">
              <w:t xml:space="preserve"> void and unenforceable</w:t>
            </w:r>
            <w:r>
              <w:t xml:space="preserve"> any </w:t>
            </w:r>
            <w:r w:rsidRPr="006B008E">
              <w:t>ordinance, order, rule, regulation, law, or p</w:t>
            </w:r>
            <w:r w:rsidRPr="006B008E">
              <w:t>olicy that violates</w:t>
            </w:r>
            <w:r>
              <w:t xml:space="preserve"> </w:t>
            </w:r>
            <w:r w:rsidR="000E56FA">
              <w:t>th</w:t>
            </w:r>
            <w:r w:rsidR="005B266C">
              <w:t>is</w:t>
            </w:r>
            <w:r w:rsidR="000E56FA">
              <w:t xml:space="preserve"> </w:t>
            </w:r>
            <w:r>
              <w:t>prohibition.</w:t>
            </w:r>
          </w:p>
          <w:p w14:paraId="5EFF9EA2" w14:textId="0F75A258" w:rsidR="006B008E" w:rsidRDefault="006B008E" w:rsidP="00F646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EE1B641" w14:textId="22D734DF" w:rsidR="006B008E" w:rsidRDefault="006F10A6" w:rsidP="00F646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2350 specifies that the </w:t>
            </w:r>
            <w:r w:rsidR="00EA5D2E">
              <w:t xml:space="preserve">prohibition </w:t>
            </w:r>
            <w:r>
              <w:t>does no</w:t>
            </w:r>
            <w:r w:rsidR="00EA5D2E">
              <w:t>t</w:t>
            </w:r>
            <w:r>
              <w:t xml:space="preserve"> limit </w:t>
            </w:r>
            <w:r w:rsidRPr="006B008E">
              <w:t>the authority of a political subdivision to adopt and enforce</w:t>
            </w:r>
            <w:r w:rsidR="00F15012">
              <w:t xml:space="preserve"> the following:</w:t>
            </w:r>
          </w:p>
          <w:p w14:paraId="076A9311" w14:textId="04134260" w:rsidR="006B008E" w:rsidRDefault="006F10A6" w:rsidP="00F646E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 zoning regulation</w:t>
            </w:r>
            <w:r w:rsidR="00010F6C">
              <w:t>;</w:t>
            </w:r>
          </w:p>
          <w:p w14:paraId="1E98B7D0" w14:textId="71E60E8D" w:rsidR="006B008E" w:rsidRDefault="006F10A6" w:rsidP="00F646E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 restriction on the location where an occupation may be </w:t>
            </w:r>
            <w:r>
              <w:t>engaged in, including a restriction on the location of a sexually oriented business or a business licensed or permitted to sell an alcoholic beverage;</w:t>
            </w:r>
          </w:p>
          <w:p w14:paraId="63D068B9" w14:textId="1EBEDC52" w:rsidR="006B008E" w:rsidRDefault="006F10A6" w:rsidP="00F646E3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 requirement on a towing company or a vehicle storage facility</w:t>
            </w:r>
            <w:r w:rsidR="00010F6C">
              <w:t xml:space="preserve"> </w:t>
            </w:r>
            <w:r>
              <w:t xml:space="preserve">to register with the </w:t>
            </w:r>
            <w:r w:rsidR="00F15012">
              <w:t xml:space="preserve">applicable </w:t>
            </w:r>
            <w:r>
              <w:t>political</w:t>
            </w:r>
            <w:r>
              <w:t xml:space="preserve"> subdivision without payment of any fee or complying with any other condition, solely for the purpose of facilitating </w:t>
            </w:r>
            <w:r w:rsidR="00F15012">
              <w:t xml:space="preserve">a </w:t>
            </w:r>
            <w:r>
              <w:t xml:space="preserve">tow </w:t>
            </w:r>
            <w:r w:rsidR="00F15012">
              <w:t xml:space="preserve">from the scene of a traffic accident or incident </w:t>
            </w:r>
            <w:r>
              <w:t>and storing the towed vehicle; or</w:t>
            </w:r>
          </w:p>
          <w:p w14:paraId="74127CFE" w14:textId="72A56C10" w:rsidR="00AB70C1" w:rsidRPr="009C36CD" w:rsidRDefault="006F10A6" w:rsidP="00F646E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an ordinance, order, rule, regulation, law, or po</w:t>
            </w:r>
            <w:r>
              <w:t>licy that protects the health or safety of persons in the political subdivision</w:t>
            </w:r>
            <w:r w:rsidR="003702F0">
              <w:t>, as authorized by other law</w:t>
            </w:r>
            <w:r w:rsidR="00010F6C">
              <w:t>.</w:t>
            </w:r>
          </w:p>
          <w:p w14:paraId="416AFDEC" w14:textId="77777777" w:rsidR="008423E4" w:rsidRPr="00835628" w:rsidRDefault="008423E4" w:rsidP="00F646E3">
            <w:pPr>
              <w:rPr>
                <w:b/>
              </w:rPr>
            </w:pPr>
          </w:p>
        </w:tc>
      </w:tr>
      <w:tr w:rsidR="001E2C5F" w14:paraId="5A4050AF" w14:textId="77777777" w:rsidTr="00345119">
        <w:tc>
          <w:tcPr>
            <w:tcW w:w="9576" w:type="dxa"/>
          </w:tcPr>
          <w:p w14:paraId="42552528" w14:textId="77777777" w:rsidR="008423E4" w:rsidRPr="00A8133F" w:rsidRDefault="006F10A6" w:rsidP="00F646E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7F5A74" w14:textId="77777777" w:rsidR="008423E4" w:rsidRDefault="008423E4" w:rsidP="00F646E3"/>
          <w:p w14:paraId="4BBDF5B2" w14:textId="1C1DEA53" w:rsidR="008423E4" w:rsidRPr="003624F2" w:rsidRDefault="006F10A6" w:rsidP="00F646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1879A89" w14:textId="77777777" w:rsidR="008423E4" w:rsidRPr="00233FDB" w:rsidRDefault="008423E4" w:rsidP="00F646E3">
            <w:pPr>
              <w:rPr>
                <w:b/>
              </w:rPr>
            </w:pPr>
          </w:p>
        </w:tc>
      </w:tr>
    </w:tbl>
    <w:p w14:paraId="70643E63" w14:textId="77777777" w:rsidR="008423E4" w:rsidRPr="00BE0E75" w:rsidRDefault="008423E4" w:rsidP="00F646E3">
      <w:pPr>
        <w:jc w:val="both"/>
        <w:rPr>
          <w:rFonts w:ascii="Arial" w:hAnsi="Arial"/>
          <w:sz w:val="16"/>
          <w:szCs w:val="16"/>
        </w:rPr>
      </w:pPr>
    </w:p>
    <w:p w14:paraId="50BA3C9F" w14:textId="77777777" w:rsidR="004108C3" w:rsidRPr="008423E4" w:rsidRDefault="004108C3" w:rsidP="00F646E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6FBE" w14:textId="77777777" w:rsidR="00000000" w:rsidRDefault="006F10A6">
      <w:r>
        <w:separator/>
      </w:r>
    </w:p>
  </w:endnote>
  <w:endnote w:type="continuationSeparator" w:id="0">
    <w:p w14:paraId="4B1A7D44" w14:textId="77777777" w:rsidR="00000000" w:rsidRDefault="006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D3F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E2C5F" w14:paraId="2E2B3517" w14:textId="77777777" w:rsidTr="009C1E9A">
      <w:trPr>
        <w:cantSplit/>
      </w:trPr>
      <w:tc>
        <w:tcPr>
          <w:tcW w:w="0" w:type="pct"/>
        </w:tcPr>
        <w:p w14:paraId="77BB40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9EB1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1B9C0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3C5E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1023E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2C5F" w14:paraId="7823E766" w14:textId="77777777" w:rsidTr="009C1E9A">
      <w:trPr>
        <w:cantSplit/>
      </w:trPr>
      <w:tc>
        <w:tcPr>
          <w:tcW w:w="0" w:type="pct"/>
        </w:tcPr>
        <w:p w14:paraId="4AA06D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8FDFCE" w14:textId="02AB1ECF" w:rsidR="00EC379B" w:rsidRPr="009C1E9A" w:rsidRDefault="006F10A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22946-D</w:t>
          </w:r>
        </w:p>
      </w:tc>
      <w:tc>
        <w:tcPr>
          <w:tcW w:w="2453" w:type="pct"/>
        </w:tcPr>
        <w:p w14:paraId="3589879A" w14:textId="785AD3A2" w:rsidR="00EC379B" w:rsidRDefault="006F10A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F5D73">
            <w:t>23.101.975</w:t>
          </w:r>
          <w:r>
            <w:fldChar w:fldCharType="end"/>
          </w:r>
        </w:p>
      </w:tc>
    </w:tr>
    <w:tr w:rsidR="001E2C5F" w14:paraId="0CE6E134" w14:textId="77777777" w:rsidTr="009C1E9A">
      <w:trPr>
        <w:cantSplit/>
      </w:trPr>
      <w:tc>
        <w:tcPr>
          <w:tcW w:w="0" w:type="pct"/>
        </w:tcPr>
        <w:p w14:paraId="147126B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E6513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5C6303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F34EF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E2C5F" w14:paraId="0D6E120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05A2EC8" w14:textId="77777777" w:rsidR="00EC379B" w:rsidRDefault="006F10A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EC16C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B7327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6A6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5EA6" w14:textId="77777777" w:rsidR="00000000" w:rsidRDefault="006F10A6">
      <w:r>
        <w:separator/>
      </w:r>
    </w:p>
  </w:footnote>
  <w:footnote w:type="continuationSeparator" w:id="0">
    <w:p w14:paraId="1950E16E" w14:textId="77777777" w:rsidR="00000000" w:rsidRDefault="006F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FF2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E32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74A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5F9"/>
    <w:multiLevelType w:val="hybridMultilevel"/>
    <w:tmpl w:val="624A3F70"/>
    <w:lvl w:ilvl="0" w:tplc="1EB21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E4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7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0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27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A2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6D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8F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4526"/>
    <w:multiLevelType w:val="hybridMultilevel"/>
    <w:tmpl w:val="B672DC60"/>
    <w:lvl w:ilvl="0" w:tplc="3C0E569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80FCE90E" w:tentative="1">
      <w:start w:val="1"/>
      <w:numFmt w:val="lowerLetter"/>
      <w:lvlText w:val="%2."/>
      <w:lvlJc w:val="left"/>
      <w:pPr>
        <w:ind w:left="1440" w:hanging="360"/>
      </w:pPr>
    </w:lvl>
    <w:lvl w:ilvl="2" w:tplc="60146B1A" w:tentative="1">
      <w:start w:val="1"/>
      <w:numFmt w:val="lowerRoman"/>
      <w:lvlText w:val="%3."/>
      <w:lvlJc w:val="right"/>
      <w:pPr>
        <w:ind w:left="2160" w:hanging="180"/>
      </w:pPr>
    </w:lvl>
    <w:lvl w:ilvl="3" w:tplc="1C3CAF18" w:tentative="1">
      <w:start w:val="1"/>
      <w:numFmt w:val="decimal"/>
      <w:lvlText w:val="%4."/>
      <w:lvlJc w:val="left"/>
      <w:pPr>
        <w:ind w:left="2880" w:hanging="360"/>
      </w:pPr>
    </w:lvl>
    <w:lvl w:ilvl="4" w:tplc="BEFC543A" w:tentative="1">
      <w:start w:val="1"/>
      <w:numFmt w:val="lowerLetter"/>
      <w:lvlText w:val="%5."/>
      <w:lvlJc w:val="left"/>
      <w:pPr>
        <w:ind w:left="3600" w:hanging="360"/>
      </w:pPr>
    </w:lvl>
    <w:lvl w:ilvl="5" w:tplc="ABB017B6" w:tentative="1">
      <w:start w:val="1"/>
      <w:numFmt w:val="lowerRoman"/>
      <w:lvlText w:val="%6."/>
      <w:lvlJc w:val="right"/>
      <w:pPr>
        <w:ind w:left="4320" w:hanging="180"/>
      </w:pPr>
    </w:lvl>
    <w:lvl w:ilvl="6" w:tplc="FD7AFB94" w:tentative="1">
      <w:start w:val="1"/>
      <w:numFmt w:val="decimal"/>
      <w:lvlText w:val="%7."/>
      <w:lvlJc w:val="left"/>
      <w:pPr>
        <w:ind w:left="5040" w:hanging="360"/>
      </w:pPr>
    </w:lvl>
    <w:lvl w:ilvl="7" w:tplc="EF60B938" w:tentative="1">
      <w:start w:val="1"/>
      <w:numFmt w:val="lowerLetter"/>
      <w:lvlText w:val="%8."/>
      <w:lvlJc w:val="left"/>
      <w:pPr>
        <w:ind w:left="5760" w:hanging="360"/>
      </w:pPr>
    </w:lvl>
    <w:lvl w:ilvl="8" w:tplc="24FA0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C2BE9"/>
    <w:multiLevelType w:val="hybridMultilevel"/>
    <w:tmpl w:val="7ADA5920"/>
    <w:lvl w:ilvl="0" w:tplc="9ED26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26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0F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0E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E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CB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46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07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0E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6A"/>
    <w:rsid w:val="00000A70"/>
    <w:rsid w:val="000032B8"/>
    <w:rsid w:val="00003B06"/>
    <w:rsid w:val="000054B9"/>
    <w:rsid w:val="00007461"/>
    <w:rsid w:val="00010F6C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507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776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6FA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630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1F9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5F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38C"/>
    <w:rsid w:val="0021383D"/>
    <w:rsid w:val="00215EE3"/>
    <w:rsid w:val="00216943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046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60F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2F0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996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5CA4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66C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86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08E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96A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06A"/>
    <w:rsid w:val="006F10A6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D4F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FE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1B6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3F2"/>
    <w:rsid w:val="00953499"/>
    <w:rsid w:val="00954A16"/>
    <w:rsid w:val="0095696D"/>
    <w:rsid w:val="00960F2D"/>
    <w:rsid w:val="0096482F"/>
    <w:rsid w:val="00964E3A"/>
    <w:rsid w:val="00967126"/>
    <w:rsid w:val="00967C3C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025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5D73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D77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07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0C1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CED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C7F9B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BF0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D2E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012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6E3"/>
    <w:rsid w:val="00F6514B"/>
    <w:rsid w:val="00F6533E"/>
    <w:rsid w:val="00F6587F"/>
    <w:rsid w:val="00F67981"/>
    <w:rsid w:val="00F67D05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08A2D5-14E9-4FBA-8391-703E87F6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10F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0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0F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0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0F6C"/>
    <w:rPr>
      <w:b/>
      <w:bCs/>
    </w:rPr>
  </w:style>
  <w:style w:type="paragraph" w:styleId="Revision">
    <w:name w:val="Revision"/>
    <w:hidden/>
    <w:uiPriority w:val="99"/>
    <w:semiHidden/>
    <w:rsid w:val="005B2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3095</Characters>
  <Application>Microsoft Office Word</Application>
  <DocSecurity>4</DocSecurity>
  <Lines>73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HB02350 (Committee Report (Unamended))</vt:lpstr>
    </vt:vector>
  </TitlesOfParts>
  <Company>State of Texas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22946</dc:subject>
  <dc:creator>State of Texas</dc:creator>
  <dc:description>HB 2350 by Harris, Cody-(H)Licensing &amp; Administrative Procedures</dc:description>
  <cp:lastModifiedBy>Thomas Weis</cp:lastModifiedBy>
  <cp:revision>2</cp:revision>
  <cp:lastPrinted>2003-11-26T17:21:00Z</cp:lastPrinted>
  <dcterms:created xsi:type="dcterms:W3CDTF">2023-04-13T23:42:00Z</dcterms:created>
  <dcterms:modified xsi:type="dcterms:W3CDTF">2023-04-13T23:42:00Z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23.101.975</vt:lpwstr>
  </property>
</Properties>
</file>