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81483" w14:paraId="1B5341A6" w14:textId="77777777" w:rsidTr="00345119">
        <w:tc>
          <w:tcPr>
            <w:tcW w:w="9576" w:type="dxa"/>
            <w:noWrap/>
          </w:tcPr>
          <w:p w14:paraId="4EE0A629" w14:textId="77777777" w:rsidR="008423E4" w:rsidRPr="0022177D" w:rsidRDefault="003C7671" w:rsidP="00570199">
            <w:pPr>
              <w:pStyle w:val="Heading1"/>
            </w:pPr>
            <w:r w:rsidRPr="00631897">
              <w:t>BILL ANALYSIS</w:t>
            </w:r>
          </w:p>
        </w:tc>
      </w:tr>
    </w:tbl>
    <w:p w14:paraId="640A2D1B" w14:textId="77777777" w:rsidR="008423E4" w:rsidRPr="0022177D" w:rsidRDefault="008423E4" w:rsidP="00570199">
      <w:pPr>
        <w:jc w:val="center"/>
      </w:pPr>
    </w:p>
    <w:p w14:paraId="757160AA" w14:textId="77777777" w:rsidR="008423E4" w:rsidRPr="00B31F0E" w:rsidRDefault="008423E4" w:rsidP="00570199"/>
    <w:p w14:paraId="19963D44" w14:textId="77777777" w:rsidR="008423E4" w:rsidRPr="00742794" w:rsidRDefault="008423E4" w:rsidP="0057019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81483" w14:paraId="5E7D60E6" w14:textId="77777777" w:rsidTr="00345119">
        <w:tc>
          <w:tcPr>
            <w:tcW w:w="9576" w:type="dxa"/>
          </w:tcPr>
          <w:p w14:paraId="33B91592" w14:textId="77EA73A6" w:rsidR="008423E4" w:rsidRPr="00861995" w:rsidRDefault="003C7671" w:rsidP="00570199">
            <w:pPr>
              <w:jc w:val="right"/>
            </w:pPr>
            <w:r>
              <w:t>H.B. 2380</w:t>
            </w:r>
          </w:p>
        </w:tc>
      </w:tr>
      <w:tr w:rsidR="00C81483" w14:paraId="61638435" w14:textId="77777777" w:rsidTr="00345119">
        <w:tc>
          <w:tcPr>
            <w:tcW w:w="9576" w:type="dxa"/>
          </w:tcPr>
          <w:p w14:paraId="0AFB2FC0" w14:textId="127138F1" w:rsidR="008423E4" w:rsidRPr="00861995" w:rsidRDefault="003C7671" w:rsidP="00570199">
            <w:pPr>
              <w:jc w:val="right"/>
            </w:pPr>
            <w:r>
              <w:t xml:space="preserve">By: </w:t>
            </w:r>
            <w:r w:rsidR="00636DDA">
              <w:t>Vasut</w:t>
            </w:r>
          </w:p>
        </w:tc>
      </w:tr>
      <w:tr w:rsidR="00C81483" w14:paraId="755C361C" w14:textId="77777777" w:rsidTr="00345119">
        <w:tc>
          <w:tcPr>
            <w:tcW w:w="9576" w:type="dxa"/>
          </w:tcPr>
          <w:p w14:paraId="41D3CC95" w14:textId="7D431A46" w:rsidR="008423E4" w:rsidRPr="00861995" w:rsidRDefault="003C7671" w:rsidP="00570199">
            <w:pPr>
              <w:jc w:val="right"/>
            </w:pPr>
            <w:r>
              <w:t>Criminal Jurisprudence</w:t>
            </w:r>
          </w:p>
        </w:tc>
      </w:tr>
      <w:tr w:rsidR="00C81483" w14:paraId="7F0B1BA3" w14:textId="77777777" w:rsidTr="00345119">
        <w:tc>
          <w:tcPr>
            <w:tcW w:w="9576" w:type="dxa"/>
          </w:tcPr>
          <w:p w14:paraId="6D94C309" w14:textId="43838969" w:rsidR="008423E4" w:rsidRDefault="003C7671" w:rsidP="00570199">
            <w:pPr>
              <w:jc w:val="right"/>
            </w:pPr>
            <w:r>
              <w:t>Committee Report (Unamended)</w:t>
            </w:r>
          </w:p>
        </w:tc>
      </w:tr>
    </w:tbl>
    <w:p w14:paraId="683047A7" w14:textId="77777777" w:rsidR="008423E4" w:rsidRDefault="008423E4" w:rsidP="00570199">
      <w:pPr>
        <w:tabs>
          <w:tab w:val="right" w:pos="9360"/>
        </w:tabs>
      </w:pPr>
    </w:p>
    <w:p w14:paraId="1F39D339" w14:textId="77777777" w:rsidR="008423E4" w:rsidRDefault="008423E4" w:rsidP="00570199"/>
    <w:p w14:paraId="0868E75C" w14:textId="77777777" w:rsidR="008423E4" w:rsidRDefault="008423E4" w:rsidP="0057019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81483" w14:paraId="174E39CE" w14:textId="77777777" w:rsidTr="00345119">
        <w:tc>
          <w:tcPr>
            <w:tcW w:w="9576" w:type="dxa"/>
          </w:tcPr>
          <w:p w14:paraId="3B8069FF" w14:textId="77777777" w:rsidR="008423E4" w:rsidRPr="00A8133F" w:rsidRDefault="003C7671" w:rsidP="0057019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6F309B" w14:textId="77777777" w:rsidR="008423E4" w:rsidRDefault="008423E4" w:rsidP="00570199"/>
          <w:p w14:paraId="6CA88365" w14:textId="58B7F4AA" w:rsidR="008423E4" w:rsidRDefault="003C7671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2021, the </w:t>
            </w:r>
            <w:r w:rsidR="00EC2C42">
              <w:t xml:space="preserve">Texas </w:t>
            </w:r>
            <w:r>
              <w:t xml:space="preserve">Legislature passed H.B. 569, which increased the credit </w:t>
            </w:r>
            <w:r w:rsidR="00EC2C42">
              <w:t xml:space="preserve">certain </w:t>
            </w:r>
            <w:r>
              <w:t>defendant</w:t>
            </w:r>
            <w:r w:rsidR="00EC2C42">
              <w:t>s</w:t>
            </w:r>
            <w:r>
              <w:t xml:space="preserve"> </w:t>
            </w:r>
            <w:r w:rsidR="0047256C">
              <w:t>earn</w:t>
            </w:r>
            <w:r>
              <w:t xml:space="preserve"> toward fines from $100 to $150 for each day the defendant </w:t>
            </w:r>
            <w:r w:rsidR="0047256C">
              <w:t xml:space="preserve">is confined </w:t>
            </w:r>
            <w:r>
              <w:t>in jail.</w:t>
            </w:r>
            <w:r w:rsidR="00EC2C42">
              <w:t xml:space="preserve"> However, the legislation did not similarly increase the credit for defendant</w:t>
            </w:r>
            <w:r w:rsidR="0047256C">
              <w:t>s</w:t>
            </w:r>
            <w:r w:rsidR="00EC2C42">
              <w:t xml:space="preserve"> who perform community service;</w:t>
            </w:r>
            <w:r w:rsidR="0047256C">
              <w:t xml:space="preserve"> the </w:t>
            </w:r>
            <w:r>
              <w:t xml:space="preserve">unintended consequence </w:t>
            </w:r>
            <w:r w:rsidR="0047256C">
              <w:t>being that</w:t>
            </w:r>
            <w:r>
              <w:t xml:space="preserve"> defendants </w:t>
            </w:r>
            <w:r w:rsidR="0047256C">
              <w:t xml:space="preserve">now had an incentive </w:t>
            </w:r>
            <w:r>
              <w:t>to remain in jail, instead of pursuing community service options.</w:t>
            </w:r>
            <w:r w:rsidR="0047256C">
              <w:t xml:space="preserve"> H.B. 2380 seeks to address this issue and ensure that the credit that defendants earn through various activities, including community service, is consistent. </w:t>
            </w:r>
          </w:p>
          <w:p w14:paraId="17C5B8C6" w14:textId="77777777" w:rsidR="008423E4" w:rsidRPr="00E26B13" w:rsidRDefault="008423E4" w:rsidP="00570199">
            <w:pPr>
              <w:rPr>
                <w:b/>
              </w:rPr>
            </w:pPr>
          </w:p>
        </w:tc>
      </w:tr>
      <w:tr w:rsidR="00C81483" w14:paraId="7EEDFD4A" w14:textId="77777777" w:rsidTr="00345119">
        <w:tc>
          <w:tcPr>
            <w:tcW w:w="9576" w:type="dxa"/>
          </w:tcPr>
          <w:p w14:paraId="2F0C5E51" w14:textId="77777777" w:rsidR="0017725B" w:rsidRDefault="003C7671" w:rsidP="005701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8B1209" w14:textId="77777777" w:rsidR="0017725B" w:rsidRDefault="0017725B" w:rsidP="00570199">
            <w:pPr>
              <w:rPr>
                <w:b/>
                <w:u w:val="single"/>
              </w:rPr>
            </w:pPr>
          </w:p>
          <w:p w14:paraId="72B2EA32" w14:textId="54CF7487" w:rsidR="004B3981" w:rsidRPr="004B3981" w:rsidRDefault="003C7671" w:rsidP="00570199">
            <w:pPr>
              <w:jc w:val="both"/>
            </w:pPr>
            <w:r>
              <w:t>I</w:t>
            </w:r>
            <w:r>
              <w:t>t is the committee's opinion that this bill does not expressly create a criminal offense, increase the punishment for an existing criminal offense or category of offenses, or change the eligibility of a person for community supervision, parole, or mandator</w:t>
            </w:r>
            <w:r>
              <w:t>y supervision.</w:t>
            </w:r>
          </w:p>
          <w:p w14:paraId="54954E69" w14:textId="77777777" w:rsidR="0017725B" w:rsidRPr="0017725B" w:rsidRDefault="0017725B" w:rsidP="00570199">
            <w:pPr>
              <w:rPr>
                <w:b/>
                <w:u w:val="single"/>
              </w:rPr>
            </w:pPr>
          </w:p>
        </w:tc>
      </w:tr>
      <w:tr w:rsidR="00C81483" w14:paraId="51C72CF7" w14:textId="77777777" w:rsidTr="00345119">
        <w:tc>
          <w:tcPr>
            <w:tcW w:w="9576" w:type="dxa"/>
          </w:tcPr>
          <w:p w14:paraId="0B1AF659" w14:textId="77777777" w:rsidR="008423E4" w:rsidRPr="00A8133F" w:rsidRDefault="003C7671" w:rsidP="0057019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696E8E" w14:textId="77777777" w:rsidR="008423E4" w:rsidRDefault="008423E4" w:rsidP="00570199"/>
          <w:p w14:paraId="44853D84" w14:textId="4695D55B" w:rsidR="004B3981" w:rsidRDefault="003C7671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16D1B91" w14:textId="77777777" w:rsidR="008423E4" w:rsidRPr="00E21FDC" w:rsidRDefault="008423E4" w:rsidP="00570199">
            <w:pPr>
              <w:rPr>
                <w:b/>
              </w:rPr>
            </w:pPr>
          </w:p>
        </w:tc>
      </w:tr>
      <w:tr w:rsidR="00C81483" w14:paraId="3D909137" w14:textId="77777777" w:rsidTr="00345119">
        <w:tc>
          <w:tcPr>
            <w:tcW w:w="9576" w:type="dxa"/>
          </w:tcPr>
          <w:p w14:paraId="6114EEC6" w14:textId="77777777" w:rsidR="008423E4" w:rsidRPr="00A8133F" w:rsidRDefault="003C7671" w:rsidP="0057019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190E93" w14:textId="77777777" w:rsidR="008423E4" w:rsidRDefault="008423E4" w:rsidP="00570199"/>
          <w:p w14:paraId="4580FB94" w14:textId="77777777" w:rsidR="00600876" w:rsidRDefault="003C7671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2380 amends the Code of Criminal Procedure to increase from $100 to $150 the amount of credit a defendant convicted of a misdemeanor or felony earns toward a fine assessed or imposed on the defendant for: </w:t>
            </w:r>
          </w:p>
          <w:p w14:paraId="00402D78" w14:textId="77777777" w:rsidR="00600876" w:rsidRDefault="003C7671" w:rsidP="005701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each day the defendant is confined; </w:t>
            </w:r>
          </w:p>
          <w:p w14:paraId="391CF9C2" w14:textId="4D2F2A3F" w:rsidR="00600876" w:rsidRDefault="003C7671" w:rsidP="005701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each day</w:t>
            </w:r>
            <w:r>
              <w:t xml:space="preserve"> the defendant works in the county jail industries program, in the workhouse, on the county farm, or</w:t>
            </w:r>
            <w:r w:rsidR="005B1490">
              <w:t xml:space="preserve"> on</w:t>
            </w:r>
            <w:r>
              <w:t xml:space="preserve"> public improvements and maintenance projects; and</w:t>
            </w:r>
          </w:p>
          <w:p w14:paraId="27A664EA" w14:textId="49EE41C7" w:rsidR="00600876" w:rsidRDefault="003C7671" w:rsidP="0057019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each eight hours of community service performed, if the defendant is unable to pay the fine or costs a</w:t>
            </w:r>
            <w:r>
              <w:t xml:space="preserve">nd required to perform community service by a court. </w:t>
            </w:r>
          </w:p>
          <w:p w14:paraId="357A3A47" w14:textId="77777777" w:rsidR="00600876" w:rsidRDefault="00600876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D1A8465" w14:textId="77777777" w:rsidR="00600876" w:rsidRDefault="003C7671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2380 increases from $100 to $150 the amount of the credit that is earned toward fines or costs for each eight hours of community service performed by the following defendants: </w:t>
            </w:r>
          </w:p>
          <w:p w14:paraId="6D55DEEB" w14:textId="69613F2B" w:rsidR="00600876" w:rsidRDefault="003C7671" w:rsidP="0057019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defendant </w:t>
            </w:r>
            <w:r w:rsidR="00D57711">
              <w:t xml:space="preserve">required to perform community service by a justice or municipal court </w:t>
            </w:r>
            <w:r>
              <w:t>who</w:t>
            </w:r>
            <w:r w:rsidR="00D57711">
              <w:t xml:space="preserve"> either</w:t>
            </w:r>
            <w:r>
              <w:t xml:space="preserve"> fails to pay a previously assessed fine or costs or</w:t>
            </w:r>
            <w:r w:rsidR="00D57711">
              <w:t xml:space="preserve"> is</w:t>
            </w:r>
            <w:r>
              <w:t xml:space="preserve"> determined by the court to have insufficient resources or income to pay a fine or costs; and</w:t>
            </w:r>
          </w:p>
          <w:p w14:paraId="1255E179" w14:textId="755CDAF7" w:rsidR="00600876" w:rsidRDefault="003C7671" w:rsidP="0057019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CE1BB5">
              <w:t xml:space="preserve">a defendant younger than 17 years </w:t>
            </w:r>
            <w:r w:rsidRPr="00CE1BB5">
              <w:t>of age who is assessed a fine or costs for a</w:t>
            </w:r>
            <w:r>
              <w:t>ny</w:t>
            </w:r>
            <w:r w:rsidRPr="00CE1BB5">
              <w:t xml:space="preserve"> Class C </w:t>
            </w:r>
            <w:r w:rsidR="00570199">
              <w:t>m</w:t>
            </w:r>
            <w:r w:rsidRPr="00CE1BB5">
              <w:t>isdemeanor</w:t>
            </w:r>
            <w:r>
              <w:t>.</w:t>
            </w:r>
          </w:p>
          <w:p w14:paraId="7F6A347F" w14:textId="77777777" w:rsidR="00600876" w:rsidRDefault="00600876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838ED57" w14:textId="42789462" w:rsidR="00600876" w:rsidRDefault="003C7671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2380 requires a justice </w:t>
            </w:r>
            <w:r w:rsidR="008119A8">
              <w:t xml:space="preserve">or </w:t>
            </w:r>
            <w:r>
              <w:t xml:space="preserve">judge, in imposing a fine and costs in a fine-only misdemeanor case, to credit </w:t>
            </w:r>
            <w:r w:rsidR="00EC2C42">
              <w:t>a</w:t>
            </w:r>
            <w:r>
              <w:t>ny time the defendant was confined in jail or prison while awaiting trial t</w:t>
            </w:r>
            <w:r>
              <w:t xml:space="preserve">oward the fine or costs, $150 for each day of confinement, if that confinement occurred after the commission of the misdemeanor. </w:t>
            </w:r>
          </w:p>
          <w:p w14:paraId="02ED59E8" w14:textId="4B1C6B6F" w:rsidR="00600876" w:rsidRDefault="00600876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75BAF6A" w14:textId="77777777" w:rsidR="00CD7D11" w:rsidRDefault="003C7671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2380 applies as follows:</w:t>
            </w:r>
          </w:p>
          <w:p w14:paraId="57465221" w14:textId="4EA7694C" w:rsidR="00600876" w:rsidRDefault="003C7671" w:rsidP="0057019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to a defendant who is confined or performs labor or community service on or after the bill's ef</w:t>
            </w:r>
            <w:r>
              <w:t>fective date</w:t>
            </w:r>
            <w:r w:rsidR="00EB1326">
              <w:t>,</w:t>
            </w:r>
            <w:r>
              <w:t xml:space="preserve"> regardless of whether the offense for which the fines or costs were imposed occurred before, on, or after the bill's effective date; and</w:t>
            </w:r>
          </w:p>
          <w:p w14:paraId="5220BDDC" w14:textId="13265FCB" w:rsidR="00600876" w:rsidRDefault="003C7671" w:rsidP="0057019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a defendant who is sentenced </w:t>
            </w:r>
            <w:r w:rsidR="00EB1326">
              <w:t xml:space="preserve">for an offense </w:t>
            </w:r>
            <w:r>
              <w:t>on or after the bill's effective date, regardless of wheth</w:t>
            </w:r>
            <w:r>
              <w:t>er the offense was committed before, on, or after the bill's effective date.</w:t>
            </w:r>
          </w:p>
          <w:p w14:paraId="3E577E2E" w14:textId="1920FBFC" w:rsidR="008423E4" w:rsidRPr="00835628" w:rsidRDefault="008423E4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81483" w14:paraId="0A6336AA" w14:textId="77777777" w:rsidTr="00345119">
        <w:tc>
          <w:tcPr>
            <w:tcW w:w="9576" w:type="dxa"/>
          </w:tcPr>
          <w:p w14:paraId="6E1FB109" w14:textId="77777777" w:rsidR="008423E4" w:rsidRPr="00A8133F" w:rsidRDefault="003C7671" w:rsidP="0057019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0D7A01A" w14:textId="77777777" w:rsidR="008423E4" w:rsidRDefault="008423E4" w:rsidP="00570199"/>
          <w:p w14:paraId="7B25ECC5" w14:textId="274E8D8D" w:rsidR="008423E4" w:rsidRPr="003624F2" w:rsidRDefault="003C7671" w:rsidP="005701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8F92DE9" w14:textId="77777777" w:rsidR="008423E4" w:rsidRPr="00233FDB" w:rsidRDefault="008423E4" w:rsidP="00570199">
            <w:pPr>
              <w:rPr>
                <w:b/>
              </w:rPr>
            </w:pPr>
          </w:p>
        </w:tc>
      </w:tr>
    </w:tbl>
    <w:p w14:paraId="1B34C458" w14:textId="77777777" w:rsidR="008423E4" w:rsidRPr="00BE0E75" w:rsidRDefault="008423E4" w:rsidP="00570199">
      <w:pPr>
        <w:jc w:val="both"/>
        <w:rPr>
          <w:rFonts w:ascii="Arial" w:hAnsi="Arial"/>
          <w:sz w:val="16"/>
          <w:szCs w:val="16"/>
        </w:rPr>
      </w:pPr>
    </w:p>
    <w:p w14:paraId="525D1A5E" w14:textId="77777777" w:rsidR="004108C3" w:rsidRPr="008423E4" w:rsidRDefault="004108C3" w:rsidP="0057019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5880" w14:textId="77777777" w:rsidR="00000000" w:rsidRDefault="003C7671">
      <w:r>
        <w:separator/>
      </w:r>
    </w:p>
  </w:endnote>
  <w:endnote w:type="continuationSeparator" w:id="0">
    <w:p w14:paraId="0898E9EE" w14:textId="77777777" w:rsidR="00000000" w:rsidRDefault="003C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1AB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81483" w14:paraId="5ABF31F7" w14:textId="77777777" w:rsidTr="009C1E9A">
      <w:trPr>
        <w:cantSplit/>
      </w:trPr>
      <w:tc>
        <w:tcPr>
          <w:tcW w:w="0" w:type="pct"/>
        </w:tcPr>
        <w:p w14:paraId="55D508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B5CD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A4533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192B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8A631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1483" w14:paraId="198802C7" w14:textId="77777777" w:rsidTr="009C1E9A">
      <w:trPr>
        <w:cantSplit/>
      </w:trPr>
      <w:tc>
        <w:tcPr>
          <w:tcW w:w="0" w:type="pct"/>
        </w:tcPr>
        <w:p w14:paraId="73ECB1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5E08F1" w14:textId="35B7DD5A" w:rsidR="00EC379B" w:rsidRPr="009C1E9A" w:rsidRDefault="003C767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25863-D</w:t>
          </w:r>
        </w:p>
      </w:tc>
      <w:tc>
        <w:tcPr>
          <w:tcW w:w="2453" w:type="pct"/>
        </w:tcPr>
        <w:p w14:paraId="6489E7A1" w14:textId="3F3D1876" w:rsidR="00EC379B" w:rsidRDefault="003C767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70199">
            <w:t>23.116.1139</w:t>
          </w:r>
          <w:r>
            <w:fldChar w:fldCharType="end"/>
          </w:r>
        </w:p>
      </w:tc>
    </w:tr>
    <w:tr w:rsidR="00C81483" w14:paraId="24A9AA01" w14:textId="77777777" w:rsidTr="009C1E9A">
      <w:trPr>
        <w:cantSplit/>
      </w:trPr>
      <w:tc>
        <w:tcPr>
          <w:tcW w:w="0" w:type="pct"/>
        </w:tcPr>
        <w:p w14:paraId="11DF465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9B2ED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56175E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F5F4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1483" w14:paraId="72D1A4C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EBAA27" w14:textId="77777777" w:rsidR="00EC379B" w:rsidRDefault="003C767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AEB60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AC158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0D7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C793" w14:textId="77777777" w:rsidR="00000000" w:rsidRDefault="003C7671">
      <w:r>
        <w:separator/>
      </w:r>
    </w:p>
  </w:footnote>
  <w:footnote w:type="continuationSeparator" w:id="0">
    <w:p w14:paraId="5C09102A" w14:textId="77777777" w:rsidR="00000000" w:rsidRDefault="003C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ADE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E6D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EA2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04BF"/>
    <w:multiLevelType w:val="hybridMultilevel"/>
    <w:tmpl w:val="6374DB68"/>
    <w:lvl w:ilvl="0" w:tplc="3B78D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725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2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62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1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0B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0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8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42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17AEE"/>
    <w:multiLevelType w:val="hybridMultilevel"/>
    <w:tmpl w:val="B2BC6E06"/>
    <w:lvl w:ilvl="0" w:tplc="71C04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28D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25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09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8E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47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E8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C8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A0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4239"/>
    <w:multiLevelType w:val="hybridMultilevel"/>
    <w:tmpl w:val="75F24302"/>
    <w:lvl w:ilvl="0" w:tplc="D568A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22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C0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87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6C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63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ED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2A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7C7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E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AFE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799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67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56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981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199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490"/>
    <w:rsid w:val="005B3298"/>
    <w:rsid w:val="005B3C13"/>
    <w:rsid w:val="005B5516"/>
    <w:rsid w:val="005B5D2B"/>
    <w:rsid w:val="005C1496"/>
    <w:rsid w:val="005C17C5"/>
    <w:rsid w:val="005C2B21"/>
    <w:rsid w:val="005C2C00"/>
    <w:rsid w:val="005C3C68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876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DDA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3AF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1B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9A8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3DC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F1E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530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B9A"/>
    <w:rsid w:val="00A82CB4"/>
    <w:rsid w:val="00A837A8"/>
    <w:rsid w:val="00A83C36"/>
    <w:rsid w:val="00A932BB"/>
    <w:rsid w:val="00A93579"/>
    <w:rsid w:val="00A93934"/>
    <w:rsid w:val="00A952E3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02B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06D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483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D11"/>
    <w:rsid w:val="00CE08E8"/>
    <w:rsid w:val="00CE1BB5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711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A5E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EA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326"/>
    <w:rsid w:val="00EB27F2"/>
    <w:rsid w:val="00EB3928"/>
    <w:rsid w:val="00EB5373"/>
    <w:rsid w:val="00EC02A2"/>
    <w:rsid w:val="00EC199A"/>
    <w:rsid w:val="00EC2C4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EAF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67866D-06E4-4291-AB5F-64BCD96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95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5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52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52E3"/>
    <w:rPr>
      <w:b/>
      <w:bCs/>
    </w:rPr>
  </w:style>
  <w:style w:type="paragraph" w:styleId="Revision">
    <w:name w:val="Revision"/>
    <w:hidden/>
    <w:uiPriority w:val="99"/>
    <w:semiHidden/>
    <w:rsid w:val="009E2F1E"/>
    <w:rPr>
      <w:sz w:val="24"/>
      <w:szCs w:val="24"/>
    </w:rPr>
  </w:style>
  <w:style w:type="character" w:styleId="Hyperlink">
    <w:name w:val="Hyperlink"/>
    <w:basedOn w:val="DefaultParagraphFont"/>
    <w:unhideWhenUsed/>
    <w:rsid w:val="004725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2580</Characters>
  <Application>Microsoft Office Word</Application>
  <DocSecurity>4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HB02380 (Committee Report (Unamended))</vt:lpstr>
    </vt:vector>
  </TitlesOfParts>
  <Company>State of Texas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25863</dc:subject>
  <dc:creator>State of Texas</dc:creator>
  <dc:description>HB 2380 by Vasut-(H)Criminal Jurisprudence</dc:description>
  <cp:lastModifiedBy>Thomas Weis</cp:lastModifiedBy>
  <cp:revision>2</cp:revision>
  <cp:lastPrinted>2003-11-26T17:21:00Z</cp:lastPrinted>
  <dcterms:created xsi:type="dcterms:W3CDTF">2023-04-26T22:00:00Z</dcterms:created>
  <dcterms:modified xsi:type="dcterms:W3CDTF">2023-04-26T22:00:00Z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23.116.1139</vt:lpwstr>
  </property>
</Properties>
</file>