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56313" w14:paraId="0568600E" w14:textId="77777777" w:rsidTr="00345119">
        <w:tc>
          <w:tcPr>
            <w:tcW w:w="9576" w:type="dxa"/>
            <w:noWrap/>
          </w:tcPr>
          <w:p w14:paraId="0E7DA67A" w14:textId="77777777" w:rsidR="008423E4" w:rsidRPr="0022177D" w:rsidRDefault="00DF1551" w:rsidP="00656A8E">
            <w:pPr>
              <w:pStyle w:val="Heading1"/>
            </w:pPr>
            <w:r w:rsidRPr="00631897">
              <w:t>BILL ANALYSIS</w:t>
            </w:r>
          </w:p>
        </w:tc>
      </w:tr>
    </w:tbl>
    <w:p w14:paraId="1039ADE0" w14:textId="77777777" w:rsidR="008423E4" w:rsidRPr="0022177D" w:rsidRDefault="008423E4" w:rsidP="00656A8E">
      <w:pPr>
        <w:jc w:val="center"/>
      </w:pPr>
    </w:p>
    <w:p w14:paraId="0FD02FB9" w14:textId="77777777" w:rsidR="008423E4" w:rsidRPr="00B31F0E" w:rsidRDefault="008423E4" w:rsidP="00656A8E"/>
    <w:p w14:paraId="40C39706" w14:textId="77777777" w:rsidR="008423E4" w:rsidRPr="00742794" w:rsidRDefault="008423E4" w:rsidP="00656A8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56313" w14:paraId="61D6D92E" w14:textId="77777777" w:rsidTr="00345119">
        <w:tc>
          <w:tcPr>
            <w:tcW w:w="9576" w:type="dxa"/>
          </w:tcPr>
          <w:p w14:paraId="2A8595F6" w14:textId="23CE19FD" w:rsidR="008423E4" w:rsidRPr="00861995" w:rsidRDefault="00DF1551" w:rsidP="00656A8E">
            <w:pPr>
              <w:jc w:val="right"/>
            </w:pPr>
            <w:r>
              <w:t>C.S.H.B. 2389</w:t>
            </w:r>
          </w:p>
        </w:tc>
      </w:tr>
      <w:tr w:rsidR="00E56313" w14:paraId="3741D011" w14:textId="77777777" w:rsidTr="00345119">
        <w:tc>
          <w:tcPr>
            <w:tcW w:w="9576" w:type="dxa"/>
          </w:tcPr>
          <w:p w14:paraId="0A569940" w14:textId="34C7D66D" w:rsidR="008423E4" w:rsidRPr="00861995" w:rsidRDefault="00DF1551" w:rsidP="00656A8E">
            <w:pPr>
              <w:jc w:val="right"/>
            </w:pPr>
            <w:r>
              <w:t xml:space="preserve">By: </w:t>
            </w:r>
            <w:r w:rsidR="00500031">
              <w:t>Shine</w:t>
            </w:r>
          </w:p>
        </w:tc>
      </w:tr>
      <w:tr w:rsidR="00E56313" w14:paraId="610314C3" w14:textId="77777777" w:rsidTr="00345119">
        <w:tc>
          <w:tcPr>
            <w:tcW w:w="9576" w:type="dxa"/>
          </w:tcPr>
          <w:p w14:paraId="72D7EF45" w14:textId="7179F36E" w:rsidR="008423E4" w:rsidRPr="00861995" w:rsidRDefault="00DF1551" w:rsidP="00656A8E">
            <w:pPr>
              <w:jc w:val="right"/>
            </w:pPr>
            <w:r>
              <w:t>International Relations &amp; Economic Development</w:t>
            </w:r>
          </w:p>
        </w:tc>
      </w:tr>
      <w:tr w:rsidR="00E56313" w14:paraId="190FF76F" w14:textId="77777777" w:rsidTr="00345119">
        <w:tc>
          <w:tcPr>
            <w:tcW w:w="9576" w:type="dxa"/>
          </w:tcPr>
          <w:p w14:paraId="4E406FDB" w14:textId="6E7CA903" w:rsidR="008423E4" w:rsidRDefault="00DF1551" w:rsidP="00656A8E">
            <w:pPr>
              <w:jc w:val="right"/>
            </w:pPr>
            <w:r>
              <w:t>Committee Report (Substituted)</w:t>
            </w:r>
          </w:p>
        </w:tc>
      </w:tr>
    </w:tbl>
    <w:p w14:paraId="14940CC2" w14:textId="77777777" w:rsidR="008423E4" w:rsidRDefault="008423E4" w:rsidP="00656A8E">
      <w:pPr>
        <w:tabs>
          <w:tab w:val="right" w:pos="9360"/>
        </w:tabs>
      </w:pPr>
    </w:p>
    <w:p w14:paraId="0EBA2122" w14:textId="77777777" w:rsidR="008423E4" w:rsidRDefault="008423E4" w:rsidP="00656A8E"/>
    <w:p w14:paraId="1595C0BD" w14:textId="77777777" w:rsidR="008423E4" w:rsidRDefault="008423E4" w:rsidP="00656A8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56313" w14:paraId="21765760" w14:textId="77777777" w:rsidTr="002F2042">
        <w:tc>
          <w:tcPr>
            <w:tcW w:w="9360" w:type="dxa"/>
          </w:tcPr>
          <w:p w14:paraId="2D0FCCA8" w14:textId="77777777" w:rsidR="008423E4" w:rsidRPr="00A8133F" w:rsidRDefault="00DF1551" w:rsidP="00656A8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2B1322" w14:textId="77777777" w:rsidR="008423E4" w:rsidRDefault="008423E4" w:rsidP="00656A8E"/>
          <w:p w14:paraId="5989F1D7" w14:textId="201C776A" w:rsidR="008423E4" w:rsidRDefault="00DF1551" w:rsidP="00656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37A6A">
              <w:t xml:space="preserve">Current </w:t>
            </w:r>
            <w:r w:rsidR="00F833B8">
              <w:t>state</w:t>
            </w:r>
            <w:r w:rsidR="00F833B8" w:rsidRPr="00337A6A">
              <w:t xml:space="preserve"> </w:t>
            </w:r>
            <w:r w:rsidRPr="00337A6A">
              <w:t xml:space="preserve">law limits </w:t>
            </w:r>
            <w:r w:rsidR="00B82DF7">
              <w:t xml:space="preserve">the ability of </w:t>
            </w:r>
            <w:r w:rsidRPr="00337A6A">
              <w:t xml:space="preserve">professional corporations </w:t>
            </w:r>
            <w:r w:rsidR="00F833B8">
              <w:t>to</w:t>
            </w:r>
            <w:r w:rsidR="00F833B8" w:rsidRPr="00337A6A">
              <w:t xml:space="preserve"> </w:t>
            </w:r>
            <w:r w:rsidR="00F833B8">
              <w:t>establish</w:t>
            </w:r>
            <w:r w:rsidRPr="00337A6A">
              <w:t xml:space="preserve"> </w:t>
            </w:r>
            <w:r w:rsidR="00F833B8">
              <w:t xml:space="preserve">an </w:t>
            </w:r>
            <w:r w:rsidRPr="00337A6A">
              <w:t xml:space="preserve">employee stock ownership plan (ESOP). </w:t>
            </w:r>
            <w:r w:rsidR="00F833B8">
              <w:t>C.S.</w:t>
            </w:r>
            <w:r w:rsidRPr="00337A6A">
              <w:t>H</w:t>
            </w:r>
            <w:r w:rsidR="00F833B8">
              <w:t>.</w:t>
            </w:r>
            <w:r w:rsidRPr="00337A6A">
              <w:t>B</w:t>
            </w:r>
            <w:r w:rsidR="00F833B8">
              <w:t>.</w:t>
            </w:r>
            <w:r w:rsidRPr="00337A6A">
              <w:t xml:space="preserve"> 2389 </w:t>
            </w:r>
            <w:r w:rsidR="00F833B8">
              <w:t xml:space="preserve">seeks to </w:t>
            </w:r>
            <w:r w:rsidRPr="00337A6A">
              <w:t xml:space="preserve">emulate other states in allowing professional corporations to have the option to </w:t>
            </w:r>
            <w:r w:rsidR="00F833B8">
              <w:t>establish</w:t>
            </w:r>
            <w:r w:rsidR="00F833B8" w:rsidRPr="00337A6A">
              <w:t xml:space="preserve"> </w:t>
            </w:r>
            <w:r w:rsidRPr="00337A6A">
              <w:t xml:space="preserve">ESOPs </w:t>
            </w:r>
            <w:r w:rsidR="00F833B8">
              <w:t>and</w:t>
            </w:r>
            <w:r w:rsidRPr="00337A6A">
              <w:t xml:space="preserve"> </w:t>
            </w:r>
            <w:r w:rsidR="00CA00ED">
              <w:t>to</w:t>
            </w:r>
            <w:r w:rsidR="00CA00ED" w:rsidRPr="00337A6A">
              <w:t xml:space="preserve"> </w:t>
            </w:r>
            <w:r w:rsidR="00F833B8">
              <w:t xml:space="preserve">provide for </w:t>
            </w:r>
            <w:r w:rsidRPr="00337A6A">
              <w:t>the creation of a</w:t>
            </w:r>
            <w:r w:rsidR="00F833B8">
              <w:t xml:space="preserve"> </w:t>
            </w:r>
            <w:r w:rsidRPr="00337A6A">
              <w:t>website</w:t>
            </w:r>
            <w:r w:rsidR="00B82DF7">
              <w:t xml:space="preserve"> maintained by the Texas Economic Development and Tourism Office</w:t>
            </w:r>
            <w:r w:rsidR="00B82DF7" w:rsidRPr="00337A6A">
              <w:t xml:space="preserve"> </w:t>
            </w:r>
            <w:r w:rsidR="00B82DF7">
              <w:t>to</w:t>
            </w:r>
            <w:r w:rsidRPr="00337A6A">
              <w:t xml:space="preserve"> promot</w:t>
            </w:r>
            <w:r w:rsidR="00B82DF7">
              <w:t>e</w:t>
            </w:r>
            <w:r w:rsidRPr="00337A6A">
              <w:t xml:space="preserve"> ESOPs</w:t>
            </w:r>
            <w:r w:rsidR="00F833B8">
              <w:t>.</w:t>
            </w:r>
          </w:p>
          <w:p w14:paraId="1C0FB3ED" w14:textId="77777777" w:rsidR="008423E4" w:rsidRPr="00E26B13" w:rsidRDefault="008423E4" w:rsidP="00656A8E">
            <w:pPr>
              <w:rPr>
                <w:b/>
              </w:rPr>
            </w:pPr>
          </w:p>
        </w:tc>
      </w:tr>
      <w:tr w:rsidR="00E56313" w14:paraId="24EA5921" w14:textId="77777777" w:rsidTr="002F2042">
        <w:tc>
          <w:tcPr>
            <w:tcW w:w="9360" w:type="dxa"/>
          </w:tcPr>
          <w:p w14:paraId="5402D444" w14:textId="77777777" w:rsidR="0017725B" w:rsidRDefault="00DF1551" w:rsidP="00656A8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961F1B" w14:textId="77777777" w:rsidR="0017725B" w:rsidRDefault="0017725B" w:rsidP="00656A8E">
            <w:pPr>
              <w:rPr>
                <w:b/>
                <w:u w:val="single"/>
              </w:rPr>
            </w:pPr>
          </w:p>
          <w:p w14:paraId="2236A0C2" w14:textId="24C1FBE9" w:rsidR="00473F2F" w:rsidRPr="00473F2F" w:rsidRDefault="00DF1551" w:rsidP="00656A8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7AE100D8" w14:textId="77777777" w:rsidR="0017725B" w:rsidRPr="0017725B" w:rsidRDefault="0017725B" w:rsidP="00656A8E">
            <w:pPr>
              <w:rPr>
                <w:b/>
                <w:u w:val="single"/>
              </w:rPr>
            </w:pPr>
          </w:p>
        </w:tc>
      </w:tr>
      <w:tr w:rsidR="00E56313" w14:paraId="45D84A67" w14:textId="77777777" w:rsidTr="002F2042">
        <w:tc>
          <w:tcPr>
            <w:tcW w:w="9360" w:type="dxa"/>
          </w:tcPr>
          <w:p w14:paraId="4D6A07CD" w14:textId="77777777" w:rsidR="008423E4" w:rsidRPr="00A8133F" w:rsidRDefault="00DF1551" w:rsidP="00656A8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BA21E1" w14:textId="77777777" w:rsidR="008423E4" w:rsidRDefault="008423E4" w:rsidP="00656A8E"/>
          <w:p w14:paraId="481124C7" w14:textId="54BCB604" w:rsidR="00473F2F" w:rsidRDefault="00DF1551" w:rsidP="00656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7410DC17" w14:textId="77777777" w:rsidR="008423E4" w:rsidRPr="00E21FDC" w:rsidRDefault="008423E4" w:rsidP="00656A8E">
            <w:pPr>
              <w:rPr>
                <w:b/>
              </w:rPr>
            </w:pPr>
          </w:p>
        </w:tc>
      </w:tr>
      <w:tr w:rsidR="00E56313" w14:paraId="7A1BE44B" w14:textId="77777777" w:rsidTr="002F2042">
        <w:tc>
          <w:tcPr>
            <w:tcW w:w="9360" w:type="dxa"/>
          </w:tcPr>
          <w:p w14:paraId="15AB2890" w14:textId="77777777" w:rsidR="008423E4" w:rsidRPr="00A8133F" w:rsidRDefault="00DF1551" w:rsidP="00656A8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23FD94D" w14:textId="77777777" w:rsidR="008423E4" w:rsidRDefault="008423E4" w:rsidP="00656A8E"/>
          <w:p w14:paraId="2A92DE8B" w14:textId="45AD1A44" w:rsidR="00756EC4" w:rsidRDefault="00DF1551" w:rsidP="00656A8E">
            <w:pPr>
              <w:pStyle w:val="Header"/>
              <w:jc w:val="both"/>
            </w:pPr>
            <w:r>
              <w:t>C.S.</w:t>
            </w:r>
            <w:r w:rsidR="00473F2F">
              <w:t xml:space="preserve">H.B. 2389 amends the </w:t>
            </w:r>
            <w:r w:rsidR="00473F2F" w:rsidRPr="00473F2F">
              <w:t>Business Organizations Code</w:t>
            </w:r>
            <w:r w:rsidR="00473F2F">
              <w:t xml:space="preserve"> to </w:t>
            </w:r>
            <w:r w:rsidR="0004173B">
              <w:t>establish</w:t>
            </w:r>
            <w:r>
              <w:t xml:space="preserve"> that</w:t>
            </w:r>
            <w:r w:rsidR="00F8332A">
              <w:t xml:space="preserve"> </w:t>
            </w:r>
            <w:r>
              <w:t>an employee stock ownership plan</w:t>
            </w:r>
            <w:r w:rsidR="00F833B8">
              <w:t xml:space="preserve"> (ESOP)</w:t>
            </w:r>
            <w:r w:rsidR="0097225C">
              <w:t>,</w:t>
            </w:r>
            <w:r>
              <w:t xml:space="preserve"> as defined by the federal Internal Revenue Code of </w:t>
            </w:r>
            <w:r w:rsidRPr="00756EC4">
              <w:t>1986</w:t>
            </w:r>
            <w:r w:rsidR="0004173B">
              <w:t>,</w:t>
            </w:r>
            <w:r>
              <w:t xml:space="preserve"> </w:t>
            </w:r>
            <w:r w:rsidR="0004173B">
              <w:t xml:space="preserve">that is </w:t>
            </w:r>
            <w:r w:rsidR="00305BAD">
              <w:t>established by a professional corporation is an authorized person</w:t>
            </w:r>
            <w:r w:rsidR="00F8332A">
              <w:t xml:space="preserve"> for purposes of provisions relating to professional corporations </w:t>
            </w:r>
            <w:r w:rsidR="00305BAD">
              <w:t>if the following conditions are met:</w:t>
            </w:r>
          </w:p>
          <w:p w14:paraId="1513484F" w14:textId="35C1C6E7" w:rsidR="00305BAD" w:rsidRDefault="00DF1551" w:rsidP="00656A8E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all </w:t>
            </w:r>
            <w:r w:rsidR="000B0F55">
              <w:t xml:space="preserve">of the </w:t>
            </w:r>
            <w:r>
              <w:t xml:space="preserve">voting trustees </w:t>
            </w:r>
            <w:r w:rsidR="00F833B8">
              <w:t xml:space="preserve">for the ESOP </w:t>
            </w:r>
            <w:r>
              <w:t xml:space="preserve">are professional individuals licensed to provide at least one category of the </w:t>
            </w:r>
            <w:r>
              <w:t>professional services described in the corporation's certificate of formation; and</w:t>
            </w:r>
          </w:p>
          <w:p w14:paraId="3427EB04" w14:textId="65F84E3A" w:rsidR="00305BAD" w:rsidRDefault="00DF1551" w:rsidP="00656A8E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ownership interests in the </w:t>
            </w:r>
            <w:r w:rsidR="00F833B8">
              <w:t xml:space="preserve">ESOP </w:t>
            </w:r>
            <w:r>
              <w:t xml:space="preserve">are not directly issued to any person other than the plan trust or </w:t>
            </w:r>
            <w:r w:rsidR="000B0F55">
              <w:t xml:space="preserve">such </w:t>
            </w:r>
            <w:r>
              <w:t>a professional individual.</w:t>
            </w:r>
          </w:p>
          <w:p w14:paraId="5ED8E126" w14:textId="01DDFDC3" w:rsidR="0097225C" w:rsidRDefault="00DF1551" w:rsidP="00656A8E">
            <w:pPr>
              <w:pStyle w:val="Header"/>
              <w:jc w:val="both"/>
            </w:pPr>
            <w:r>
              <w:t xml:space="preserve">The bill classifies </w:t>
            </w:r>
            <w:r w:rsidR="00DB1270">
              <w:t xml:space="preserve">an </w:t>
            </w:r>
            <w:r w:rsidR="00F833B8">
              <w:t>ESOP</w:t>
            </w:r>
            <w:r w:rsidR="00DB1270">
              <w:t xml:space="preserve"> established by a professional corporation </w:t>
            </w:r>
            <w:r w:rsidR="0004173B">
              <w:t xml:space="preserve">as an authorized person with respect to </w:t>
            </w:r>
            <w:r w:rsidR="00DB1270">
              <w:t>the</w:t>
            </w:r>
            <w:r w:rsidR="0004173B">
              <w:t xml:space="preserve"> corporation </w:t>
            </w:r>
            <w:r w:rsidR="00DB1270">
              <w:t>for purposes of provisions governing professional entities</w:t>
            </w:r>
            <w:r w:rsidR="0004173B">
              <w:t>.</w:t>
            </w:r>
          </w:p>
          <w:p w14:paraId="135C3FBE" w14:textId="77777777" w:rsidR="00855130" w:rsidRDefault="00855130" w:rsidP="00656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8059A1" w14:textId="1004AF48" w:rsidR="009C36CD" w:rsidRDefault="00DF1551" w:rsidP="00656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7225C">
              <w:t>H.B. 2389</w:t>
            </w:r>
            <w:r w:rsidR="0004173B">
              <w:t xml:space="preserve"> amends the Government Code</w:t>
            </w:r>
            <w:r w:rsidR="0097225C">
              <w:t xml:space="preserve"> </w:t>
            </w:r>
            <w:r w:rsidR="0004173B">
              <w:t xml:space="preserve">to </w:t>
            </w:r>
            <w:r w:rsidR="0097225C">
              <w:t>require the Texas Economic Development and Tourism Office to establish and maintain a website for employee-owned company information as a source of the following:</w:t>
            </w:r>
          </w:p>
          <w:p w14:paraId="534CE52D" w14:textId="3C5CCA87" w:rsidR="0097225C" w:rsidRDefault="00DF1551" w:rsidP="00656A8E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outreach and information dissemination for fostering increased awareness of </w:t>
            </w:r>
            <w:r w:rsidR="00F833B8">
              <w:t>ESOPs</w:t>
            </w:r>
            <w:r>
              <w:t>; and</w:t>
            </w:r>
          </w:p>
          <w:p w14:paraId="1F6513B6" w14:textId="79085D37" w:rsidR="0097225C" w:rsidRDefault="00DF1551" w:rsidP="00656A8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techni</w:t>
            </w:r>
            <w:r>
              <w:t xml:space="preserve">cal assistance to assist businesses in determining the feasibility of establishing </w:t>
            </w:r>
            <w:r w:rsidR="00F833B8">
              <w:t>an ESOP</w:t>
            </w:r>
            <w:r>
              <w:t>.</w:t>
            </w:r>
          </w:p>
          <w:p w14:paraId="44FB5C97" w14:textId="7C2BBA97" w:rsidR="002F2042" w:rsidRPr="00835628" w:rsidRDefault="002F2042" w:rsidP="00656A8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56313" w14:paraId="5F678331" w14:textId="77777777" w:rsidTr="002F2042">
        <w:tc>
          <w:tcPr>
            <w:tcW w:w="9360" w:type="dxa"/>
          </w:tcPr>
          <w:p w14:paraId="1B12107A" w14:textId="77777777" w:rsidR="008423E4" w:rsidRPr="00A8133F" w:rsidRDefault="00DF1551" w:rsidP="00656A8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0EDC48" w14:textId="77777777" w:rsidR="008423E4" w:rsidRDefault="008423E4" w:rsidP="00656A8E"/>
          <w:p w14:paraId="18258655" w14:textId="3753D8FC" w:rsidR="008423E4" w:rsidRPr="003624F2" w:rsidRDefault="00DF1551" w:rsidP="00656A8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17EC971" w14:textId="77777777" w:rsidR="008423E4" w:rsidRDefault="008423E4" w:rsidP="00656A8E">
            <w:pPr>
              <w:rPr>
                <w:b/>
              </w:rPr>
            </w:pPr>
          </w:p>
          <w:p w14:paraId="729F2BFD" w14:textId="6C97AAC2" w:rsidR="00656A8E" w:rsidRPr="00233FDB" w:rsidRDefault="00656A8E" w:rsidP="00656A8E">
            <w:pPr>
              <w:rPr>
                <w:b/>
              </w:rPr>
            </w:pPr>
          </w:p>
        </w:tc>
      </w:tr>
      <w:tr w:rsidR="00E56313" w14:paraId="7B53150C" w14:textId="77777777" w:rsidTr="002F2042">
        <w:tc>
          <w:tcPr>
            <w:tcW w:w="9360" w:type="dxa"/>
          </w:tcPr>
          <w:p w14:paraId="49AB3F80" w14:textId="6D1EEB4A" w:rsidR="00500031" w:rsidRDefault="00DF1551" w:rsidP="00656A8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63572A3" w14:textId="77777777" w:rsidR="002F2042" w:rsidRDefault="002F2042" w:rsidP="00656A8E">
            <w:pPr>
              <w:jc w:val="both"/>
              <w:rPr>
                <w:b/>
                <w:u w:val="single"/>
              </w:rPr>
            </w:pPr>
          </w:p>
          <w:p w14:paraId="798DE3C7" w14:textId="68A73BE7" w:rsidR="00A23587" w:rsidRDefault="00DF1551" w:rsidP="00656A8E">
            <w:pPr>
              <w:jc w:val="both"/>
            </w:pPr>
            <w:r>
              <w:t>While C.S.H.B</w:t>
            </w:r>
            <w:r>
              <w:t>. 2389 may differ from the introduced in minor or nonsubstantive ways, the following summarizes the substantial differences between the introduced and committee substitute versions of the bill.</w:t>
            </w:r>
          </w:p>
          <w:p w14:paraId="72B1F36B" w14:textId="77777777" w:rsidR="00337A6A" w:rsidRDefault="00337A6A" w:rsidP="00656A8E">
            <w:pPr>
              <w:jc w:val="both"/>
            </w:pPr>
          </w:p>
          <w:p w14:paraId="5A75FC0B" w14:textId="3831667E" w:rsidR="00A23587" w:rsidRPr="00A23587" w:rsidRDefault="00DF1551" w:rsidP="00656A8E">
            <w:pPr>
              <w:jc w:val="both"/>
            </w:pPr>
            <w:r>
              <w:t>The substitute omits the provisions from the introduced regar</w:t>
            </w:r>
            <w:r>
              <w:t xml:space="preserve">ding </w:t>
            </w:r>
            <w:r w:rsidR="00337A6A">
              <w:t xml:space="preserve">a </w:t>
            </w:r>
            <w:r>
              <w:t>business</w:t>
            </w:r>
            <w:r w:rsidR="000E4698">
              <w:t xml:space="preserve">'s </w:t>
            </w:r>
            <w:r w:rsidRPr="0021417C">
              <w:t xml:space="preserve">retention of </w:t>
            </w:r>
            <w:r w:rsidR="00337A6A">
              <w:t xml:space="preserve">its </w:t>
            </w:r>
            <w:r w:rsidRPr="0021417C">
              <w:t xml:space="preserve">status as </w:t>
            </w:r>
            <w:r>
              <w:t xml:space="preserve">a </w:t>
            </w:r>
            <w:r w:rsidRPr="0021417C">
              <w:t xml:space="preserve">historically underutilized business </w:t>
            </w:r>
            <w:r w:rsidR="00337A6A">
              <w:t>after</w:t>
            </w:r>
            <w:r>
              <w:t xml:space="preserve"> establishing an </w:t>
            </w:r>
            <w:r w:rsidR="00F833B8">
              <w:t>ESOP</w:t>
            </w:r>
            <w:r w:rsidR="000E4698">
              <w:t>.</w:t>
            </w:r>
          </w:p>
        </w:tc>
      </w:tr>
    </w:tbl>
    <w:p w14:paraId="2120D96D" w14:textId="77777777" w:rsidR="008423E4" w:rsidRPr="00BE0E75" w:rsidRDefault="008423E4" w:rsidP="00656A8E">
      <w:pPr>
        <w:jc w:val="both"/>
        <w:rPr>
          <w:rFonts w:ascii="Arial" w:hAnsi="Arial"/>
          <w:sz w:val="16"/>
          <w:szCs w:val="16"/>
        </w:rPr>
      </w:pPr>
    </w:p>
    <w:p w14:paraId="0441F049" w14:textId="77777777" w:rsidR="004108C3" w:rsidRPr="008423E4" w:rsidRDefault="004108C3" w:rsidP="00656A8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9750" w14:textId="77777777" w:rsidR="00000000" w:rsidRDefault="00DF1551">
      <w:r>
        <w:separator/>
      </w:r>
    </w:p>
  </w:endnote>
  <w:endnote w:type="continuationSeparator" w:id="0">
    <w:p w14:paraId="3CF73543" w14:textId="77777777" w:rsidR="00000000" w:rsidRDefault="00D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A21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56313" w14:paraId="10151D9F" w14:textId="77777777" w:rsidTr="009C1E9A">
      <w:trPr>
        <w:cantSplit/>
      </w:trPr>
      <w:tc>
        <w:tcPr>
          <w:tcW w:w="0" w:type="pct"/>
        </w:tcPr>
        <w:p w14:paraId="140CAF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AA5C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AC331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3176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4893DD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6313" w14:paraId="22EE2F22" w14:textId="77777777" w:rsidTr="009C1E9A">
      <w:trPr>
        <w:cantSplit/>
      </w:trPr>
      <w:tc>
        <w:tcPr>
          <w:tcW w:w="0" w:type="pct"/>
        </w:tcPr>
        <w:p w14:paraId="151E14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F45F3D" w14:textId="062583CE" w:rsidR="00EC379B" w:rsidRPr="009C1E9A" w:rsidRDefault="00DF155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22393-D</w:t>
          </w:r>
        </w:p>
      </w:tc>
      <w:tc>
        <w:tcPr>
          <w:tcW w:w="2453" w:type="pct"/>
        </w:tcPr>
        <w:p w14:paraId="62F66E31" w14:textId="69E99AE3" w:rsidR="00EC379B" w:rsidRDefault="00DF155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F2042">
            <w:t>23.96.1072</w:t>
          </w:r>
          <w:r>
            <w:fldChar w:fldCharType="end"/>
          </w:r>
        </w:p>
      </w:tc>
    </w:tr>
    <w:tr w:rsidR="00E56313" w14:paraId="765D3A79" w14:textId="77777777" w:rsidTr="009C1E9A">
      <w:trPr>
        <w:cantSplit/>
      </w:trPr>
      <w:tc>
        <w:tcPr>
          <w:tcW w:w="0" w:type="pct"/>
        </w:tcPr>
        <w:p w14:paraId="2693035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F31DB4" w14:textId="6BA1D2E5" w:rsidR="00EC379B" w:rsidRPr="009C1E9A" w:rsidRDefault="00DF155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21678</w:t>
          </w:r>
        </w:p>
      </w:tc>
      <w:tc>
        <w:tcPr>
          <w:tcW w:w="2453" w:type="pct"/>
        </w:tcPr>
        <w:p w14:paraId="39C7761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09C8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6313" w14:paraId="7F94B64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9936B4" w14:textId="77777777" w:rsidR="00EC379B" w:rsidRDefault="00DF155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D4963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2239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163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7084" w14:textId="77777777" w:rsidR="00000000" w:rsidRDefault="00DF1551">
      <w:r>
        <w:separator/>
      </w:r>
    </w:p>
  </w:footnote>
  <w:footnote w:type="continuationSeparator" w:id="0">
    <w:p w14:paraId="7D2B00D2" w14:textId="77777777" w:rsidR="00000000" w:rsidRDefault="00DF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171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AA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55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64B6F"/>
    <w:multiLevelType w:val="hybridMultilevel"/>
    <w:tmpl w:val="52DAD154"/>
    <w:lvl w:ilvl="0" w:tplc="83B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6E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65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8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0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05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E3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D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4C1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2C71"/>
    <w:multiLevelType w:val="hybridMultilevel"/>
    <w:tmpl w:val="44AAC184"/>
    <w:lvl w:ilvl="0" w:tplc="A7E6A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02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29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43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CD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42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82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C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24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693A"/>
    <w:multiLevelType w:val="hybridMultilevel"/>
    <w:tmpl w:val="3ED83C66"/>
    <w:lvl w:ilvl="0" w:tplc="5ED8E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03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29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05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E1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E6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21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E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EC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73B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0F55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698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F24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17C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FC0"/>
    <w:rsid w:val="0024077A"/>
    <w:rsid w:val="00241EC1"/>
    <w:rsid w:val="002431DA"/>
    <w:rsid w:val="0024691D"/>
    <w:rsid w:val="00247D27"/>
    <w:rsid w:val="00250A50"/>
    <w:rsid w:val="00251ED5"/>
    <w:rsid w:val="0025367D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4EC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042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BA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A6A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54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F2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02B"/>
    <w:rsid w:val="004F32AD"/>
    <w:rsid w:val="004F57CB"/>
    <w:rsid w:val="004F64F6"/>
    <w:rsid w:val="004F69C0"/>
    <w:rsid w:val="00500031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189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3F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A8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FE3"/>
    <w:rsid w:val="00695101"/>
    <w:rsid w:val="00695B9A"/>
    <w:rsid w:val="00696563"/>
    <w:rsid w:val="006979F8"/>
    <w:rsid w:val="006A3487"/>
    <w:rsid w:val="006A4540"/>
    <w:rsid w:val="006A6068"/>
    <w:rsid w:val="006B09C9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5ED"/>
    <w:rsid w:val="00735B9D"/>
    <w:rsid w:val="007365A5"/>
    <w:rsid w:val="00736FB0"/>
    <w:rsid w:val="007404BC"/>
    <w:rsid w:val="00740D13"/>
    <w:rsid w:val="00740F5F"/>
    <w:rsid w:val="00741E8C"/>
    <w:rsid w:val="00742794"/>
    <w:rsid w:val="00743C4C"/>
    <w:rsid w:val="007445B7"/>
    <w:rsid w:val="00744920"/>
    <w:rsid w:val="007509BE"/>
    <w:rsid w:val="0075287B"/>
    <w:rsid w:val="00755C7B"/>
    <w:rsid w:val="00756EC4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5130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5AC5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25C"/>
    <w:rsid w:val="00972797"/>
    <w:rsid w:val="0097279D"/>
    <w:rsid w:val="009754E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240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DD2"/>
    <w:rsid w:val="009E13BF"/>
    <w:rsid w:val="009E3631"/>
    <w:rsid w:val="009E3EB9"/>
    <w:rsid w:val="009E69C2"/>
    <w:rsid w:val="009E70AF"/>
    <w:rsid w:val="009E7AEB"/>
    <w:rsid w:val="009F1B37"/>
    <w:rsid w:val="009F3821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587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C88"/>
    <w:rsid w:val="00B80532"/>
    <w:rsid w:val="00B82039"/>
    <w:rsid w:val="00B82454"/>
    <w:rsid w:val="00B82DF7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705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AA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273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0ED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EFC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0D12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27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551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31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7B1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32A"/>
    <w:rsid w:val="00F833B8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8AC4B0-638E-4CDB-8565-6424D4FD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73F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3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F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F2F"/>
    <w:rPr>
      <w:b/>
      <w:bCs/>
    </w:rPr>
  </w:style>
  <w:style w:type="paragraph" w:styleId="Revision">
    <w:name w:val="Revision"/>
    <w:hidden/>
    <w:uiPriority w:val="99"/>
    <w:semiHidden/>
    <w:rsid w:val="00F8332A"/>
    <w:rPr>
      <w:sz w:val="24"/>
      <w:szCs w:val="24"/>
    </w:rPr>
  </w:style>
  <w:style w:type="character" w:styleId="Hyperlink">
    <w:name w:val="Hyperlink"/>
    <w:basedOn w:val="DefaultParagraphFont"/>
    <w:unhideWhenUsed/>
    <w:rsid w:val="002536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2318</Characters>
  <Application>Microsoft Office Word</Application>
  <DocSecurity>4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HB02389 (Committee Report (Substituted))</vt:lpstr>
    </vt:vector>
  </TitlesOfParts>
  <Company>State of Texas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22393</dc:subject>
  <dc:creator>State of Texas</dc:creator>
  <dc:description>HB 2389 by Shine-(H)International Relations &amp; Economic Development (Substitute Document Number: 88R 21678)</dc:description>
  <cp:lastModifiedBy>Thomas Weis</cp:lastModifiedBy>
  <cp:revision>2</cp:revision>
  <cp:lastPrinted>2003-11-26T17:21:00Z</cp:lastPrinted>
  <dcterms:created xsi:type="dcterms:W3CDTF">2023-04-11T21:20:00Z</dcterms:created>
  <dcterms:modified xsi:type="dcterms:W3CDTF">2023-04-11T21:20:00Z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23.96.1072</vt:lpwstr>
  </property>
</Properties>
</file>