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011F" w14:paraId="44DEC692" w14:textId="77777777" w:rsidTr="00345119">
        <w:tc>
          <w:tcPr>
            <w:tcW w:w="9576" w:type="dxa"/>
            <w:noWrap/>
          </w:tcPr>
          <w:p w14:paraId="70B75903" w14:textId="77777777" w:rsidR="008423E4" w:rsidRPr="0022177D" w:rsidRDefault="004C6E6A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17499E5" w14:textId="77777777" w:rsidR="008423E4" w:rsidRPr="0022177D" w:rsidRDefault="008423E4" w:rsidP="008423E4">
      <w:pPr>
        <w:jc w:val="center"/>
      </w:pPr>
    </w:p>
    <w:p w14:paraId="6140AB46" w14:textId="77777777" w:rsidR="008423E4" w:rsidRPr="00B31F0E" w:rsidRDefault="008423E4" w:rsidP="008423E4"/>
    <w:p w14:paraId="08F7886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011F" w14:paraId="677C7397" w14:textId="77777777" w:rsidTr="00345119">
        <w:tc>
          <w:tcPr>
            <w:tcW w:w="9576" w:type="dxa"/>
          </w:tcPr>
          <w:p w14:paraId="1B38A772" w14:textId="103F422A" w:rsidR="008423E4" w:rsidRPr="00861995" w:rsidRDefault="004C6E6A" w:rsidP="00345119">
            <w:pPr>
              <w:jc w:val="right"/>
            </w:pPr>
            <w:r>
              <w:t>H.B. 2402</w:t>
            </w:r>
          </w:p>
        </w:tc>
      </w:tr>
      <w:tr w:rsidR="0074011F" w14:paraId="2A1D3754" w14:textId="77777777" w:rsidTr="00345119">
        <w:tc>
          <w:tcPr>
            <w:tcW w:w="9576" w:type="dxa"/>
          </w:tcPr>
          <w:p w14:paraId="2C6B4405" w14:textId="122E6EC1" w:rsidR="008423E4" w:rsidRPr="00861995" w:rsidRDefault="004C6E6A" w:rsidP="00345119">
            <w:pPr>
              <w:jc w:val="right"/>
            </w:pPr>
            <w:r>
              <w:t xml:space="preserve">By: </w:t>
            </w:r>
            <w:r w:rsidR="00AE564D">
              <w:t>Moody</w:t>
            </w:r>
          </w:p>
        </w:tc>
      </w:tr>
      <w:tr w:rsidR="0074011F" w14:paraId="638C4A5C" w14:textId="77777777" w:rsidTr="00345119">
        <w:tc>
          <w:tcPr>
            <w:tcW w:w="9576" w:type="dxa"/>
          </w:tcPr>
          <w:p w14:paraId="3DE05E3E" w14:textId="27BF5C5B" w:rsidR="008423E4" w:rsidRPr="00861995" w:rsidRDefault="004C6E6A" w:rsidP="00345119">
            <w:pPr>
              <w:jc w:val="right"/>
            </w:pPr>
            <w:r>
              <w:t>Urban Affairs</w:t>
            </w:r>
          </w:p>
        </w:tc>
      </w:tr>
      <w:tr w:rsidR="0074011F" w14:paraId="5E4498E4" w14:textId="77777777" w:rsidTr="00345119">
        <w:tc>
          <w:tcPr>
            <w:tcW w:w="9576" w:type="dxa"/>
          </w:tcPr>
          <w:p w14:paraId="180DA376" w14:textId="7EECA26A" w:rsidR="008423E4" w:rsidRDefault="004C6E6A" w:rsidP="00345119">
            <w:pPr>
              <w:jc w:val="right"/>
            </w:pPr>
            <w:r>
              <w:t>Committee Report (Unamended)</w:t>
            </w:r>
          </w:p>
        </w:tc>
      </w:tr>
    </w:tbl>
    <w:p w14:paraId="08AA576C" w14:textId="77777777" w:rsidR="008423E4" w:rsidRDefault="008423E4" w:rsidP="008423E4">
      <w:pPr>
        <w:tabs>
          <w:tab w:val="right" w:pos="9360"/>
        </w:tabs>
      </w:pPr>
    </w:p>
    <w:p w14:paraId="09E86FA1" w14:textId="77777777" w:rsidR="008423E4" w:rsidRDefault="008423E4" w:rsidP="008423E4"/>
    <w:p w14:paraId="350F191A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011F" w14:paraId="7DFC11FA" w14:textId="77777777" w:rsidTr="00345119">
        <w:tc>
          <w:tcPr>
            <w:tcW w:w="9576" w:type="dxa"/>
          </w:tcPr>
          <w:p w14:paraId="1F42DB54" w14:textId="77777777" w:rsidR="008423E4" w:rsidRPr="00A8133F" w:rsidRDefault="004C6E6A" w:rsidP="007B05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E4FA08" w14:textId="77777777" w:rsidR="008423E4" w:rsidRDefault="008423E4" w:rsidP="007B0519"/>
          <w:p w14:paraId="3613F53E" w14:textId="77777777" w:rsidR="008423E4" w:rsidRDefault="004C6E6A" w:rsidP="007B05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73AF4">
              <w:t xml:space="preserve">Concerns </w:t>
            </w:r>
            <w:r w:rsidR="00E411A6">
              <w:t xml:space="preserve">have been raised by </w:t>
            </w:r>
            <w:r w:rsidR="00B23B3D">
              <w:t xml:space="preserve">a local </w:t>
            </w:r>
            <w:r w:rsidRPr="00073AF4">
              <w:t>municipal housing authorit</w:t>
            </w:r>
            <w:r w:rsidR="00B23B3D">
              <w:t>y</w:t>
            </w:r>
            <w:r w:rsidRPr="00073AF4">
              <w:t xml:space="preserve"> that the definition of </w:t>
            </w:r>
            <w:r w:rsidR="002F07DD">
              <w:t>"</w:t>
            </w:r>
            <w:r w:rsidRPr="00073AF4">
              <w:t>at-risk development</w:t>
            </w:r>
            <w:r w:rsidR="002F07DD">
              <w:t>"</w:t>
            </w:r>
            <w:r w:rsidRPr="00073AF4">
              <w:t xml:space="preserve"> </w:t>
            </w:r>
            <w:r w:rsidR="00EB4DB2">
              <w:t xml:space="preserve">in </w:t>
            </w:r>
            <w:r w:rsidR="002F07DD">
              <w:t>state law</w:t>
            </w:r>
            <w:r w:rsidR="00445450">
              <w:t xml:space="preserve"> governing </w:t>
            </w:r>
            <w:r w:rsidR="00EB4DB2">
              <w:t xml:space="preserve">the </w:t>
            </w:r>
            <w:r w:rsidR="00EB4DB2" w:rsidRPr="00073AF4">
              <w:t>low</w:t>
            </w:r>
            <w:r w:rsidR="00EB4DB2">
              <w:t xml:space="preserve"> </w:t>
            </w:r>
            <w:r w:rsidR="00EB4DB2" w:rsidRPr="00073AF4">
              <w:t xml:space="preserve">income housing tax credit program </w:t>
            </w:r>
            <w:r w:rsidRPr="00073AF4">
              <w:t>improperly excludes certain types of developments</w:t>
            </w:r>
            <w:r w:rsidR="00E411A6">
              <w:t xml:space="preserve"> </w:t>
            </w:r>
            <w:r w:rsidR="00EE3F6D">
              <w:t xml:space="preserve">under the </w:t>
            </w:r>
            <w:r w:rsidR="00EB4DB2">
              <w:t xml:space="preserve">federal </w:t>
            </w:r>
            <w:r w:rsidR="00EE3F6D" w:rsidRPr="00073AF4">
              <w:t>Section 8</w:t>
            </w:r>
            <w:r w:rsidR="00BD4AEE">
              <w:t xml:space="preserve"> program </w:t>
            </w:r>
            <w:r w:rsidR="00EB4DB2">
              <w:t xml:space="preserve">from </w:t>
            </w:r>
            <w:r w:rsidR="00445450">
              <w:t xml:space="preserve">eligibility for receiving such </w:t>
            </w:r>
            <w:r w:rsidR="00EB4DB2">
              <w:t>tax credits</w:t>
            </w:r>
            <w:r w:rsidRPr="00073AF4">
              <w:t>.</w:t>
            </w:r>
            <w:r>
              <w:t xml:space="preserve"> </w:t>
            </w:r>
            <w:r w:rsidRPr="00073AF4">
              <w:t>H</w:t>
            </w:r>
            <w:r w:rsidR="00EE3F6D">
              <w:t>.</w:t>
            </w:r>
            <w:r w:rsidRPr="00073AF4">
              <w:t>B</w:t>
            </w:r>
            <w:r w:rsidR="00EE3F6D">
              <w:t>.</w:t>
            </w:r>
            <w:r w:rsidRPr="00073AF4">
              <w:t xml:space="preserve"> 2402 </w:t>
            </w:r>
            <w:r w:rsidR="00EE3F6D">
              <w:t xml:space="preserve">seeks to address these concerns </w:t>
            </w:r>
            <w:r w:rsidR="00482BF4">
              <w:t xml:space="preserve">by adding those </w:t>
            </w:r>
            <w:r w:rsidR="00306352">
              <w:t>developments</w:t>
            </w:r>
            <w:r w:rsidR="00482BF4">
              <w:t xml:space="preserve"> to </w:t>
            </w:r>
            <w:r w:rsidRPr="00073AF4">
              <w:t xml:space="preserve">the definition of </w:t>
            </w:r>
            <w:r w:rsidR="002F07DD">
              <w:t>"</w:t>
            </w:r>
            <w:r w:rsidRPr="00073AF4">
              <w:t>at-risk development</w:t>
            </w:r>
            <w:r w:rsidR="002F07DD">
              <w:t>"</w:t>
            </w:r>
            <w:r w:rsidR="00445450">
              <w:t xml:space="preserve"> for purposes of the low income housing tax credit program</w:t>
            </w:r>
            <w:r w:rsidR="002F07DD">
              <w:t>.</w:t>
            </w:r>
            <w:r w:rsidRPr="00073AF4">
              <w:t xml:space="preserve"> </w:t>
            </w:r>
          </w:p>
          <w:p w14:paraId="4284DC16" w14:textId="50F3DA8B" w:rsidR="007B0519" w:rsidRPr="00E26B13" w:rsidRDefault="007B0519" w:rsidP="007B05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4011F" w14:paraId="61636915" w14:textId="77777777" w:rsidTr="00345119">
        <w:tc>
          <w:tcPr>
            <w:tcW w:w="9576" w:type="dxa"/>
          </w:tcPr>
          <w:p w14:paraId="4A4AA9CB" w14:textId="77777777" w:rsidR="0017725B" w:rsidRDefault="004C6E6A" w:rsidP="007B05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60A1E5" w14:textId="77777777" w:rsidR="0017725B" w:rsidRDefault="0017725B" w:rsidP="007B0519">
            <w:pPr>
              <w:rPr>
                <w:b/>
                <w:u w:val="single"/>
              </w:rPr>
            </w:pPr>
          </w:p>
          <w:p w14:paraId="1AD4D5CD" w14:textId="721AD75C" w:rsidR="00C22E9A" w:rsidRPr="00C22E9A" w:rsidRDefault="004C6E6A" w:rsidP="007B0519">
            <w:pPr>
              <w:jc w:val="both"/>
            </w:pPr>
            <w:r>
              <w:t>It is the committee's opinion that this bill does not expressly create a criminal offense, increase the punishmen</w:t>
            </w:r>
            <w:r>
              <w:t>t for an existing criminal offense or category of offenses, or change the eligibility of a person for community supervision, parole, or mandatory supervision.</w:t>
            </w:r>
          </w:p>
          <w:p w14:paraId="10AD3F55" w14:textId="77777777" w:rsidR="0017725B" w:rsidRPr="0017725B" w:rsidRDefault="0017725B" w:rsidP="007B0519">
            <w:pPr>
              <w:rPr>
                <w:b/>
                <w:u w:val="single"/>
              </w:rPr>
            </w:pPr>
          </w:p>
        </w:tc>
      </w:tr>
      <w:tr w:rsidR="0074011F" w14:paraId="3E38BF1E" w14:textId="77777777" w:rsidTr="00345119">
        <w:tc>
          <w:tcPr>
            <w:tcW w:w="9576" w:type="dxa"/>
          </w:tcPr>
          <w:p w14:paraId="3DC3363A" w14:textId="77777777" w:rsidR="008423E4" w:rsidRPr="00A8133F" w:rsidRDefault="004C6E6A" w:rsidP="007B05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04229F" w14:textId="77777777" w:rsidR="008423E4" w:rsidRDefault="008423E4" w:rsidP="007B0519"/>
          <w:p w14:paraId="4CD18E2B" w14:textId="1E47DE2A" w:rsidR="00C22E9A" w:rsidRDefault="004C6E6A" w:rsidP="007B05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</w:t>
            </w:r>
            <w:r>
              <w:t>y additional rulemaking authority to a state officer, department, agency, or institution.</w:t>
            </w:r>
          </w:p>
          <w:p w14:paraId="3C08F200" w14:textId="77777777" w:rsidR="008423E4" w:rsidRPr="00E21FDC" w:rsidRDefault="008423E4" w:rsidP="007B0519">
            <w:pPr>
              <w:rPr>
                <w:b/>
              </w:rPr>
            </w:pPr>
          </w:p>
        </w:tc>
      </w:tr>
      <w:tr w:rsidR="0074011F" w14:paraId="09B2AFF2" w14:textId="77777777" w:rsidTr="00345119">
        <w:tc>
          <w:tcPr>
            <w:tcW w:w="9576" w:type="dxa"/>
          </w:tcPr>
          <w:p w14:paraId="2208C8ED" w14:textId="77777777" w:rsidR="008423E4" w:rsidRPr="00A8133F" w:rsidRDefault="004C6E6A" w:rsidP="007B05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10FC92" w14:textId="77777777" w:rsidR="008423E4" w:rsidRDefault="008423E4" w:rsidP="007B0519"/>
          <w:p w14:paraId="5159BA4C" w14:textId="7A01511C" w:rsidR="00C22E9A" w:rsidRDefault="004C6E6A" w:rsidP="007B0519">
            <w:pPr>
              <w:pStyle w:val="Header"/>
              <w:jc w:val="both"/>
            </w:pPr>
            <w:r>
              <w:t xml:space="preserve">H.B. </w:t>
            </w:r>
            <w:r w:rsidR="00272096" w:rsidRPr="00272096">
              <w:t>2402</w:t>
            </w:r>
            <w:r w:rsidR="00272096">
              <w:t xml:space="preserve"> </w:t>
            </w:r>
            <w:r>
              <w:t>amends the Government Code to make eligible for housing tax credits under the low income housing tax credit program a development that has received the benefit of an applicable subsidy under the following federal programs administered by HUD and that other</w:t>
            </w:r>
            <w:r>
              <w:t>wise qualifies as an at-risk development:</w:t>
            </w:r>
          </w:p>
          <w:p w14:paraId="70DEB384" w14:textId="39512D80" w:rsidR="00C22E9A" w:rsidRDefault="004C6E6A" w:rsidP="007B0519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Section 8 housing assistance payments program for new construction; or</w:t>
            </w:r>
          </w:p>
          <w:p w14:paraId="6ECBA368" w14:textId="31BD062B" w:rsidR="00C22E9A" w:rsidRDefault="004C6E6A" w:rsidP="007B0519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Section 8 housing assistance payments program for substantial rehabilitation.</w:t>
            </w:r>
          </w:p>
          <w:p w14:paraId="3BA28094" w14:textId="01AACA2C" w:rsidR="00C22E9A" w:rsidRDefault="00C22E9A" w:rsidP="007B0519">
            <w:pPr>
              <w:pStyle w:val="Header"/>
              <w:spacing w:before="120" w:after="120"/>
              <w:jc w:val="both"/>
            </w:pPr>
          </w:p>
          <w:p w14:paraId="6C3BDE1F" w14:textId="708DD1B1" w:rsidR="00883BCA" w:rsidRDefault="004C6E6A" w:rsidP="007B0519">
            <w:pPr>
              <w:pStyle w:val="Header"/>
              <w:spacing w:before="120" w:after="120"/>
              <w:jc w:val="both"/>
            </w:pPr>
            <w:r>
              <w:t xml:space="preserve">H.B. 2402 </w:t>
            </w:r>
            <w:r w:rsidR="00FA41E9">
              <w:t>establishes that</w:t>
            </w:r>
            <w:r>
              <w:t xml:space="preserve"> </w:t>
            </w:r>
            <w:r w:rsidR="00051ACF">
              <w:t>a</w:t>
            </w:r>
            <w:r w:rsidR="001270B5">
              <w:t xml:space="preserve"> development is </w:t>
            </w:r>
            <w:r>
              <w:t>considered a</w:t>
            </w:r>
            <w:r>
              <w:t>n at-risk development</w:t>
            </w:r>
            <w:r w:rsidR="00FA41E9">
              <w:t xml:space="preserve"> for purposes of that eligibility </w:t>
            </w:r>
            <w:r>
              <w:t>regardless</w:t>
            </w:r>
            <w:r w:rsidR="00051ACF">
              <w:t xml:space="preserve"> </w:t>
            </w:r>
            <w:r>
              <w:t>of</w:t>
            </w:r>
            <w:r w:rsidR="00051ACF">
              <w:t xml:space="preserve"> whether the </w:t>
            </w:r>
            <w:r w:rsidR="00C109C9">
              <w:t>development proposes</w:t>
            </w:r>
            <w:r w:rsidR="00FA41E9">
              <w:t xml:space="preserve"> to do</w:t>
            </w:r>
            <w:r w:rsidR="00C109C9">
              <w:t xml:space="preserve"> </w:t>
            </w:r>
            <w:r>
              <w:t xml:space="preserve">the following: </w:t>
            </w:r>
          </w:p>
          <w:p w14:paraId="79938BCC" w14:textId="0BB274C8" w:rsidR="00883BCA" w:rsidRDefault="004C6E6A" w:rsidP="007B0519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to newly construct housing units or rehabilitate or reconstruct housing units at the same location of any of the original </w:t>
            </w:r>
            <w:r>
              <w:t>development sites; or</w:t>
            </w:r>
          </w:p>
          <w:p w14:paraId="101AA8F8" w14:textId="5836CB56" w:rsidR="00C22E9A" w:rsidRDefault="004C6E6A" w:rsidP="007B0519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to wholly construct or reconstruct housing units at a location other than the location of any of the original development sites and meets the following criteria</w:t>
            </w:r>
            <w:r w:rsidR="001270B5">
              <w:t>:</w:t>
            </w:r>
          </w:p>
          <w:p w14:paraId="123398EF" w14:textId="4923824D" w:rsidR="00883BCA" w:rsidRDefault="004C6E6A" w:rsidP="007B0519">
            <w:pPr>
              <w:pStyle w:val="Header"/>
              <w:numPr>
                <w:ilvl w:val="1"/>
                <w:numId w:val="3"/>
              </w:numPr>
              <w:spacing w:before="120" w:after="120"/>
              <w:jc w:val="both"/>
            </w:pPr>
            <w:r>
              <w:t xml:space="preserve">qualifies for points on the opportunity index under </w:t>
            </w:r>
            <w:r w:rsidR="00FA41E9">
              <w:t>Texas Department of Housing and Community Affairs (</w:t>
            </w:r>
            <w:r w:rsidR="00C109C9">
              <w:t>TDHCA</w:t>
            </w:r>
            <w:r w:rsidR="00FA41E9">
              <w:t>)</w:t>
            </w:r>
            <w:r>
              <w:t xml:space="preserve"> rule; or</w:t>
            </w:r>
          </w:p>
          <w:p w14:paraId="10B15BBE" w14:textId="38FCD0BE" w:rsidR="00883BCA" w:rsidRDefault="004C6E6A" w:rsidP="007B0519">
            <w:pPr>
              <w:pStyle w:val="Header"/>
              <w:numPr>
                <w:ilvl w:val="1"/>
                <w:numId w:val="3"/>
              </w:numPr>
              <w:spacing w:before="120" w:after="120"/>
              <w:jc w:val="both"/>
            </w:pPr>
            <w:r>
              <w:t>is supported by the applicable governing body of the municipality or county in which the development is located, as evidenced by a resolution adopted by the governing body.</w:t>
            </w:r>
          </w:p>
          <w:p w14:paraId="14B64A07" w14:textId="68021E11" w:rsidR="009C36CD" w:rsidRPr="009C36CD" w:rsidRDefault="004C6E6A" w:rsidP="007B05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72096" w:rsidRPr="00272096">
              <w:t>2402</w:t>
            </w:r>
            <w:r w:rsidR="00272096">
              <w:t xml:space="preserve"> </w:t>
            </w:r>
            <w:r>
              <w:t>applies only to an applica</w:t>
            </w:r>
            <w:r>
              <w:t xml:space="preserve">tion for low income housing tax credits that is submitted to TDHCA during an application cycle that is based on the </w:t>
            </w:r>
            <w:r w:rsidR="001270B5">
              <w:t xml:space="preserve">2024 </w:t>
            </w:r>
            <w:r>
              <w:t>qualified allocation plan or a subsequent plan adopted by the TDHCA governing board.</w:t>
            </w:r>
          </w:p>
          <w:p w14:paraId="3042B1FB" w14:textId="77777777" w:rsidR="008423E4" w:rsidRPr="00835628" w:rsidRDefault="008423E4" w:rsidP="007B0519">
            <w:pPr>
              <w:rPr>
                <w:b/>
              </w:rPr>
            </w:pPr>
          </w:p>
        </w:tc>
      </w:tr>
      <w:tr w:rsidR="0074011F" w14:paraId="16D5CBA3" w14:textId="77777777" w:rsidTr="00345119">
        <w:tc>
          <w:tcPr>
            <w:tcW w:w="9576" w:type="dxa"/>
          </w:tcPr>
          <w:p w14:paraId="27148E83" w14:textId="77777777" w:rsidR="008423E4" w:rsidRPr="00A8133F" w:rsidRDefault="004C6E6A" w:rsidP="007B05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AC08E3" w14:textId="77777777" w:rsidR="008423E4" w:rsidRDefault="008423E4" w:rsidP="007B0519"/>
          <w:p w14:paraId="14DDC961" w14:textId="3ECB5063" w:rsidR="008423E4" w:rsidRPr="003624F2" w:rsidRDefault="004C6E6A" w:rsidP="007B05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B834AB5" w14:textId="77777777" w:rsidR="008423E4" w:rsidRPr="00233FDB" w:rsidRDefault="008423E4" w:rsidP="007B0519">
            <w:pPr>
              <w:rPr>
                <w:b/>
              </w:rPr>
            </w:pPr>
          </w:p>
        </w:tc>
      </w:tr>
    </w:tbl>
    <w:p w14:paraId="22F1E370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4AF1482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021C" w14:textId="77777777" w:rsidR="00000000" w:rsidRDefault="004C6E6A">
      <w:r>
        <w:separator/>
      </w:r>
    </w:p>
  </w:endnote>
  <w:endnote w:type="continuationSeparator" w:id="0">
    <w:p w14:paraId="43BDEF48" w14:textId="77777777" w:rsidR="00000000" w:rsidRDefault="004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00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011F" w14:paraId="1F5E7E0B" w14:textId="77777777" w:rsidTr="009C1E9A">
      <w:trPr>
        <w:cantSplit/>
      </w:trPr>
      <w:tc>
        <w:tcPr>
          <w:tcW w:w="0" w:type="pct"/>
        </w:tcPr>
        <w:p w14:paraId="6DFAFE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F1B6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04945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BAD3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60DF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11F" w14:paraId="6D69796D" w14:textId="77777777" w:rsidTr="009C1E9A">
      <w:trPr>
        <w:cantSplit/>
      </w:trPr>
      <w:tc>
        <w:tcPr>
          <w:tcW w:w="0" w:type="pct"/>
        </w:tcPr>
        <w:p w14:paraId="071624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7FFC7A" w14:textId="5CAEB14F" w:rsidR="00EC379B" w:rsidRPr="009C1E9A" w:rsidRDefault="004C6E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21423-D</w:t>
          </w:r>
        </w:p>
      </w:tc>
      <w:tc>
        <w:tcPr>
          <w:tcW w:w="2453" w:type="pct"/>
        </w:tcPr>
        <w:p w14:paraId="0405CBD6" w14:textId="44DBC6DC" w:rsidR="00EC379B" w:rsidRDefault="004C6E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0519">
            <w:t>23.90.583</w:t>
          </w:r>
          <w:r>
            <w:fldChar w:fldCharType="end"/>
          </w:r>
        </w:p>
      </w:tc>
    </w:tr>
    <w:tr w:rsidR="0074011F" w14:paraId="0BB9F307" w14:textId="77777777" w:rsidTr="009C1E9A">
      <w:trPr>
        <w:cantSplit/>
      </w:trPr>
      <w:tc>
        <w:tcPr>
          <w:tcW w:w="0" w:type="pct"/>
        </w:tcPr>
        <w:p w14:paraId="02643C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7724B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C933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BF8E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11F" w14:paraId="277F196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AD06B7" w14:textId="77777777" w:rsidR="00EC379B" w:rsidRDefault="004C6E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E79D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FDC5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1DF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6219" w14:textId="77777777" w:rsidR="00000000" w:rsidRDefault="004C6E6A">
      <w:r>
        <w:separator/>
      </w:r>
    </w:p>
  </w:footnote>
  <w:footnote w:type="continuationSeparator" w:id="0">
    <w:p w14:paraId="73A79D60" w14:textId="77777777" w:rsidR="00000000" w:rsidRDefault="004C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40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F3F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B56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4D8"/>
    <w:multiLevelType w:val="hybridMultilevel"/>
    <w:tmpl w:val="D3D8A8AC"/>
    <w:lvl w:ilvl="0" w:tplc="7B62F0A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1821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E1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8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7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C6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69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02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37338"/>
    <w:multiLevelType w:val="hybridMultilevel"/>
    <w:tmpl w:val="EEF02456"/>
    <w:lvl w:ilvl="0" w:tplc="2B769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40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8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6C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B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AC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4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3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8E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167CF"/>
    <w:multiLevelType w:val="hybridMultilevel"/>
    <w:tmpl w:val="9E3C11E8"/>
    <w:lvl w:ilvl="0" w:tplc="51A22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A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E3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0E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D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E1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2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AB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A0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1430">
    <w:abstractNumId w:val="1"/>
  </w:num>
  <w:num w:numId="2" w16cid:durableId="1633900870">
    <w:abstractNumId w:val="0"/>
  </w:num>
  <w:num w:numId="3" w16cid:durableId="117434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ACF"/>
    <w:rsid w:val="00051C10"/>
    <w:rsid w:val="000532BD"/>
    <w:rsid w:val="000555E0"/>
    <w:rsid w:val="00055C12"/>
    <w:rsid w:val="000608B0"/>
    <w:rsid w:val="00060A51"/>
    <w:rsid w:val="0006104C"/>
    <w:rsid w:val="00064BF2"/>
    <w:rsid w:val="000667BA"/>
    <w:rsid w:val="000676A7"/>
    <w:rsid w:val="00073914"/>
    <w:rsid w:val="00073AF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0B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D7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09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7DD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35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96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450"/>
    <w:rsid w:val="00446F6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BF4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E6A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B0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A8C"/>
    <w:rsid w:val="00693AFA"/>
    <w:rsid w:val="00695101"/>
    <w:rsid w:val="00695B9A"/>
    <w:rsid w:val="00696563"/>
    <w:rsid w:val="006979F8"/>
    <w:rsid w:val="006A161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14E"/>
    <w:rsid w:val="0074011F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1A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51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BCA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BC6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B20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64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B3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02B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AE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9C9"/>
    <w:rsid w:val="00C119AC"/>
    <w:rsid w:val="00C14EE6"/>
    <w:rsid w:val="00C151DA"/>
    <w:rsid w:val="00C152A1"/>
    <w:rsid w:val="00C16CCB"/>
    <w:rsid w:val="00C2142B"/>
    <w:rsid w:val="00C22987"/>
    <w:rsid w:val="00C22E9A"/>
    <w:rsid w:val="00C2394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010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327"/>
    <w:rsid w:val="00E2551E"/>
    <w:rsid w:val="00E26B13"/>
    <w:rsid w:val="00E27E5A"/>
    <w:rsid w:val="00E31135"/>
    <w:rsid w:val="00E317BA"/>
    <w:rsid w:val="00E33671"/>
    <w:rsid w:val="00E3469B"/>
    <w:rsid w:val="00E3679D"/>
    <w:rsid w:val="00E3795D"/>
    <w:rsid w:val="00E4098A"/>
    <w:rsid w:val="00E411A6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3CA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6B6"/>
    <w:rsid w:val="00EA385A"/>
    <w:rsid w:val="00EA3931"/>
    <w:rsid w:val="00EA658E"/>
    <w:rsid w:val="00EA7A88"/>
    <w:rsid w:val="00EB27F2"/>
    <w:rsid w:val="00EB3928"/>
    <w:rsid w:val="00EB4DB2"/>
    <w:rsid w:val="00EB5373"/>
    <w:rsid w:val="00EC02A2"/>
    <w:rsid w:val="00EC2FD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F6D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1E9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7A230C-BD54-4294-84AC-EED23CA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C22E9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70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7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0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2201</Characters>
  <Application>Microsoft Office Word</Application>
  <DocSecurity>4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HB02402 (Committee Report (Unamended))</vt:lpstr>
    </vt:vector>
  </TitlesOfParts>
  <Company>State of Texas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21423</dc:subject>
  <dc:creator>State of Texas</dc:creator>
  <dc:description>HB 2402 by Moody-(H)Urban Affairs</dc:description>
  <cp:lastModifiedBy>Stacey Nicchio</cp:lastModifiedBy>
  <cp:revision>2</cp:revision>
  <cp:lastPrinted>2003-11-26T17:21:00Z</cp:lastPrinted>
  <dcterms:created xsi:type="dcterms:W3CDTF">2023-04-04T18:13:00Z</dcterms:created>
  <dcterms:modified xsi:type="dcterms:W3CDTF">2023-04-04T18:13:00Z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23.90.583</vt:lpwstr>
  </property>
</Properties>
</file>