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678C9" w14:paraId="7ACB40FC" w14:textId="77777777" w:rsidTr="00345119">
        <w:tc>
          <w:tcPr>
            <w:tcW w:w="9576" w:type="dxa"/>
            <w:noWrap/>
          </w:tcPr>
          <w:p w14:paraId="3F8C0C93" w14:textId="77777777" w:rsidR="008423E4" w:rsidRPr="0022177D" w:rsidRDefault="00B34F9C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288FEBA" w14:textId="77777777" w:rsidR="008423E4" w:rsidRPr="00F15224" w:rsidRDefault="008423E4" w:rsidP="008423E4">
      <w:pPr>
        <w:jc w:val="center"/>
        <w:rPr>
          <w:sz w:val="20"/>
          <w:szCs w:val="20"/>
        </w:rPr>
      </w:pPr>
    </w:p>
    <w:p w14:paraId="3CA11716" w14:textId="77777777" w:rsidR="008423E4" w:rsidRPr="00F15224" w:rsidRDefault="008423E4" w:rsidP="008423E4">
      <w:pPr>
        <w:rPr>
          <w:sz w:val="20"/>
          <w:szCs w:val="20"/>
        </w:rPr>
      </w:pPr>
    </w:p>
    <w:p w14:paraId="0AFF87F4" w14:textId="77777777" w:rsidR="008423E4" w:rsidRPr="00F15224" w:rsidRDefault="008423E4" w:rsidP="008423E4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678C9" w14:paraId="4E9A40B9" w14:textId="77777777" w:rsidTr="00345119">
        <w:tc>
          <w:tcPr>
            <w:tcW w:w="9576" w:type="dxa"/>
          </w:tcPr>
          <w:p w14:paraId="080F50C5" w14:textId="2FB71F84" w:rsidR="008423E4" w:rsidRPr="00861995" w:rsidRDefault="00B34F9C" w:rsidP="00345119">
            <w:pPr>
              <w:jc w:val="right"/>
            </w:pPr>
            <w:r>
              <w:t>C.S.H.B. 2453</w:t>
            </w:r>
          </w:p>
        </w:tc>
      </w:tr>
      <w:tr w:rsidR="00D678C9" w14:paraId="5A921BA5" w14:textId="77777777" w:rsidTr="00345119">
        <w:tc>
          <w:tcPr>
            <w:tcW w:w="9576" w:type="dxa"/>
          </w:tcPr>
          <w:p w14:paraId="0EB1EB07" w14:textId="32891C13" w:rsidR="008423E4" w:rsidRPr="00861995" w:rsidRDefault="00B34F9C" w:rsidP="00345119">
            <w:pPr>
              <w:jc w:val="right"/>
            </w:pPr>
            <w:r>
              <w:t xml:space="preserve">By: </w:t>
            </w:r>
            <w:r w:rsidR="001C7365">
              <w:t>Guillen</w:t>
            </w:r>
          </w:p>
        </w:tc>
      </w:tr>
      <w:tr w:rsidR="00D678C9" w14:paraId="2ECFFBB9" w14:textId="77777777" w:rsidTr="00345119">
        <w:tc>
          <w:tcPr>
            <w:tcW w:w="9576" w:type="dxa"/>
          </w:tcPr>
          <w:p w14:paraId="323B7A4F" w14:textId="5B82689B" w:rsidR="008423E4" w:rsidRPr="00861995" w:rsidRDefault="00B34F9C" w:rsidP="00345119">
            <w:pPr>
              <w:jc w:val="right"/>
            </w:pPr>
            <w:r>
              <w:t>Licensing &amp; Administrative Procedures</w:t>
            </w:r>
          </w:p>
        </w:tc>
      </w:tr>
      <w:tr w:rsidR="00D678C9" w14:paraId="0CF4C92E" w14:textId="77777777" w:rsidTr="00345119">
        <w:tc>
          <w:tcPr>
            <w:tcW w:w="9576" w:type="dxa"/>
          </w:tcPr>
          <w:p w14:paraId="7BF8A592" w14:textId="53522896" w:rsidR="008423E4" w:rsidRDefault="00B34F9C" w:rsidP="00345119">
            <w:pPr>
              <w:jc w:val="right"/>
            </w:pPr>
            <w:r>
              <w:t>Committee Report (Substituted)</w:t>
            </w:r>
          </w:p>
        </w:tc>
      </w:tr>
    </w:tbl>
    <w:p w14:paraId="25D695FF" w14:textId="77777777" w:rsidR="008423E4" w:rsidRPr="00F15224" w:rsidRDefault="008423E4" w:rsidP="008423E4">
      <w:pPr>
        <w:tabs>
          <w:tab w:val="right" w:pos="9360"/>
        </w:tabs>
        <w:rPr>
          <w:sz w:val="20"/>
          <w:szCs w:val="20"/>
        </w:rPr>
      </w:pPr>
    </w:p>
    <w:p w14:paraId="34451887" w14:textId="77777777" w:rsidR="008423E4" w:rsidRPr="00F15224" w:rsidRDefault="008423E4" w:rsidP="008423E4">
      <w:pPr>
        <w:rPr>
          <w:sz w:val="20"/>
          <w:szCs w:val="20"/>
        </w:rPr>
      </w:pPr>
    </w:p>
    <w:p w14:paraId="59CAB20E" w14:textId="77777777" w:rsidR="008423E4" w:rsidRPr="00F15224" w:rsidRDefault="008423E4" w:rsidP="008423E4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678C9" w14:paraId="512C09BA" w14:textId="77777777" w:rsidTr="00345119">
        <w:tc>
          <w:tcPr>
            <w:tcW w:w="9576" w:type="dxa"/>
          </w:tcPr>
          <w:p w14:paraId="501DBA12" w14:textId="77777777" w:rsidR="008423E4" w:rsidRPr="00A8133F" w:rsidRDefault="00B34F9C" w:rsidP="003F4B8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782F77" w14:textId="77777777" w:rsidR="008423E4" w:rsidRPr="00F15224" w:rsidRDefault="008423E4" w:rsidP="003F4B8F">
            <w:pPr>
              <w:rPr>
                <w:sz w:val="22"/>
                <w:szCs w:val="22"/>
              </w:rPr>
            </w:pPr>
          </w:p>
          <w:p w14:paraId="20CB287F" w14:textId="77777777" w:rsidR="008423E4" w:rsidRDefault="00B34F9C" w:rsidP="003F4B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8617B">
              <w:t xml:space="preserve">Under current law, </w:t>
            </w:r>
            <w:r w:rsidR="00A129C2">
              <w:t>there is no mention of the issuance of an occupational license in a digital format</w:t>
            </w:r>
            <w:r w:rsidR="00C23A4E">
              <w:t>. Therefore,</w:t>
            </w:r>
            <w:r w:rsidR="00A129C2">
              <w:t xml:space="preserve"> licensing authorities </w:t>
            </w:r>
            <w:r w:rsidRPr="00A8617B">
              <w:t xml:space="preserve">seeking to issue </w:t>
            </w:r>
            <w:r w:rsidR="00A129C2">
              <w:t>their</w:t>
            </w:r>
            <w:r w:rsidR="002349A4" w:rsidRPr="00A8617B">
              <w:t xml:space="preserve"> </w:t>
            </w:r>
            <w:r w:rsidRPr="00A8617B">
              <w:t xml:space="preserve">license </w:t>
            </w:r>
            <w:r w:rsidR="002349A4">
              <w:t>in</w:t>
            </w:r>
            <w:r w:rsidR="002349A4" w:rsidRPr="00A8617B">
              <w:t xml:space="preserve"> </w:t>
            </w:r>
            <w:r w:rsidRPr="00A8617B">
              <w:t xml:space="preserve">a digital format are unable to do so, </w:t>
            </w:r>
            <w:r w:rsidR="00A129C2">
              <w:t xml:space="preserve">which </w:t>
            </w:r>
            <w:r w:rsidR="002349A4">
              <w:t>reduc</w:t>
            </w:r>
            <w:r w:rsidR="00A129C2">
              <w:t>es</w:t>
            </w:r>
            <w:r w:rsidRPr="00A8617B">
              <w:t xml:space="preserve"> the efficiency of </w:t>
            </w:r>
            <w:r w:rsidR="002349A4">
              <w:t xml:space="preserve">license </w:t>
            </w:r>
            <w:r w:rsidRPr="00A8617B">
              <w:t>recipients</w:t>
            </w:r>
            <w:r w:rsidR="002349A4">
              <w:t>.</w:t>
            </w:r>
            <w:r w:rsidRPr="00A8617B">
              <w:t xml:space="preserve"> </w:t>
            </w:r>
            <w:r w:rsidR="002349A4">
              <w:t>C.S.</w:t>
            </w:r>
            <w:r w:rsidRPr="00A8617B">
              <w:t xml:space="preserve">H.B. 2453 </w:t>
            </w:r>
            <w:r w:rsidR="002349A4">
              <w:t xml:space="preserve">seeks to </w:t>
            </w:r>
            <w:r w:rsidR="003B19B7">
              <w:t xml:space="preserve">give </w:t>
            </w:r>
            <w:r w:rsidR="00C23A4E">
              <w:t>licensing authorities</w:t>
            </w:r>
            <w:r w:rsidR="003B19B7">
              <w:t xml:space="preserve"> and individuals greater flexibility in the licensing process</w:t>
            </w:r>
            <w:r w:rsidR="002349A4">
              <w:t xml:space="preserve"> by </w:t>
            </w:r>
            <w:r w:rsidR="003B19B7">
              <w:t>providing for</w:t>
            </w:r>
            <w:r w:rsidR="002349A4">
              <w:t xml:space="preserve"> the issuance of digital licenses</w:t>
            </w:r>
            <w:r w:rsidRPr="00A8617B">
              <w:t xml:space="preserve">. </w:t>
            </w:r>
          </w:p>
          <w:p w14:paraId="7FA7531A" w14:textId="4B308E2D" w:rsidR="003F4B8F" w:rsidRPr="00E26B13" w:rsidRDefault="003F4B8F" w:rsidP="003F4B8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678C9" w14:paraId="13B04135" w14:textId="77777777" w:rsidTr="00345119">
        <w:tc>
          <w:tcPr>
            <w:tcW w:w="9576" w:type="dxa"/>
          </w:tcPr>
          <w:p w14:paraId="217DF306" w14:textId="77777777" w:rsidR="0017725B" w:rsidRDefault="00B34F9C" w:rsidP="003F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E0E779" w14:textId="77777777" w:rsidR="0017725B" w:rsidRPr="00F15224" w:rsidRDefault="0017725B" w:rsidP="003F4B8F">
            <w:pPr>
              <w:rPr>
                <w:b/>
                <w:sz w:val="22"/>
                <w:szCs w:val="22"/>
                <w:u w:val="single"/>
              </w:rPr>
            </w:pPr>
          </w:p>
          <w:p w14:paraId="3917D580" w14:textId="62665A20" w:rsidR="00F835A1" w:rsidRPr="00F835A1" w:rsidRDefault="00B34F9C" w:rsidP="003F4B8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13A09CE9" w14:textId="77777777" w:rsidR="0017725B" w:rsidRPr="0017725B" w:rsidRDefault="0017725B" w:rsidP="003F4B8F">
            <w:pPr>
              <w:rPr>
                <w:b/>
                <w:u w:val="single"/>
              </w:rPr>
            </w:pPr>
          </w:p>
        </w:tc>
      </w:tr>
      <w:tr w:rsidR="00D678C9" w14:paraId="031511C6" w14:textId="77777777" w:rsidTr="00345119">
        <w:tc>
          <w:tcPr>
            <w:tcW w:w="9576" w:type="dxa"/>
          </w:tcPr>
          <w:p w14:paraId="6BC24852" w14:textId="77777777" w:rsidR="008423E4" w:rsidRPr="00A8133F" w:rsidRDefault="00B34F9C" w:rsidP="003F4B8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5D693A" w14:textId="77777777" w:rsidR="008423E4" w:rsidRPr="00F15224" w:rsidRDefault="008423E4" w:rsidP="003F4B8F">
            <w:pPr>
              <w:rPr>
                <w:sz w:val="22"/>
                <w:szCs w:val="22"/>
              </w:rPr>
            </w:pPr>
          </w:p>
          <w:p w14:paraId="015FBC24" w14:textId="50C151AC" w:rsidR="00A57679" w:rsidRDefault="00B34F9C" w:rsidP="003F4B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47B4EDD6" w14:textId="77777777" w:rsidR="008423E4" w:rsidRPr="00E21FDC" w:rsidRDefault="008423E4" w:rsidP="003F4B8F">
            <w:pPr>
              <w:rPr>
                <w:b/>
              </w:rPr>
            </w:pPr>
          </w:p>
        </w:tc>
      </w:tr>
      <w:tr w:rsidR="00D678C9" w14:paraId="1E339AEA" w14:textId="77777777" w:rsidTr="00345119">
        <w:tc>
          <w:tcPr>
            <w:tcW w:w="9576" w:type="dxa"/>
          </w:tcPr>
          <w:p w14:paraId="5A57830A" w14:textId="77777777" w:rsidR="008423E4" w:rsidRPr="00A8133F" w:rsidRDefault="00B34F9C" w:rsidP="003F4B8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4AF39E" w14:textId="77777777" w:rsidR="008423E4" w:rsidRPr="00F15224" w:rsidRDefault="008423E4" w:rsidP="003F4B8F">
            <w:pPr>
              <w:rPr>
                <w:sz w:val="22"/>
                <w:szCs w:val="22"/>
              </w:rPr>
            </w:pPr>
          </w:p>
          <w:p w14:paraId="5870F533" w14:textId="0F97EE5E" w:rsidR="009C36CD" w:rsidRDefault="00B34F9C" w:rsidP="003F4B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3384F">
              <w:t xml:space="preserve">H.B. 2453 amends the Occupations Code to authorize </w:t>
            </w:r>
            <w:r w:rsidR="000E237E" w:rsidRPr="000E237E">
              <w:t>a state agency, county, or municipality that is authorized to issue an occupational license</w:t>
            </w:r>
            <w:r w:rsidR="0043384F" w:rsidRPr="0043384F">
              <w:t>, certificate</w:t>
            </w:r>
            <w:r w:rsidR="00C23A4E">
              <w:t>,</w:t>
            </w:r>
            <w:r w:rsidR="0043384F" w:rsidRPr="0043384F">
              <w:t xml:space="preserve"> registration</w:t>
            </w:r>
            <w:r w:rsidR="00F835A1">
              <w:t>,</w:t>
            </w:r>
            <w:r w:rsidR="00C23A4E">
              <w:t xml:space="preserve"> permit</w:t>
            </w:r>
            <w:r w:rsidR="00B1092F">
              <w:t>, or other</w:t>
            </w:r>
            <w:r w:rsidR="0043384F" w:rsidRPr="0043384F">
              <w:t xml:space="preserve"> </w:t>
            </w:r>
            <w:r w:rsidR="00C23A4E">
              <w:t>form of</w:t>
            </w:r>
            <w:r w:rsidR="0043384F" w:rsidRPr="0043384F">
              <w:t xml:space="preserve"> authorization</w:t>
            </w:r>
            <w:r w:rsidR="00C23A4E">
              <w:t xml:space="preserve"> required by statute, ordinance, order, or rule that must be obtained by an individual to engage </w:t>
            </w:r>
            <w:r w:rsidR="008378FF" w:rsidRPr="008378FF">
              <w:t xml:space="preserve">in a </w:t>
            </w:r>
            <w:r w:rsidR="000D0C9C">
              <w:t>particular business,</w:t>
            </w:r>
            <w:r w:rsidR="000D0C9C" w:rsidRPr="008378FF">
              <w:t xml:space="preserve"> </w:t>
            </w:r>
            <w:r w:rsidR="008378FF" w:rsidRPr="008378FF">
              <w:t>occupation</w:t>
            </w:r>
            <w:r w:rsidR="000D0C9C">
              <w:t>,</w:t>
            </w:r>
            <w:r w:rsidR="008378FF" w:rsidRPr="008378FF">
              <w:t xml:space="preserve"> or profession</w:t>
            </w:r>
            <w:r w:rsidR="008378FF">
              <w:t xml:space="preserve"> to issue a digital </w:t>
            </w:r>
            <w:r w:rsidR="00C23A4E">
              <w:t>license to a license holder</w:t>
            </w:r>
            <w:r w:rsidR="0043384F" w:rsidRPr="0043384F">
              <w:t>.</w:t>
            </w:r>
            <w:r w:rsidR="0043384F">
              <w:t xml:space="preserve"> </w:t>
            </w:r>
            <w:r w:rsidR="000E237E">
              <w:t xml:space="preserve">The bill </w:t>
            </w:r>
            <w:r w:rsidR="000D0C9C">
              <w:t>requires</w:t>
            </w:r>
            <w:r w:rsidR="000E237E">
              <w:t xml:space="preserve"> a digital </w:t>
            </w:r>
            <w:r w:rsidR="0096175D">
              <w:t xml:space="preserve">license </w:t>
            </w:r>
            <w:r w:rsidR="000D0C9C">
              <w:t xml:space="preserve">to </w:t>
            </w:r>
            <w:r w:rsidR="000E237E">
              <w:t xml:space="preserve">comply with </w:t>
            </w:r>
            <w:r w:rsidR="0043384F">
              <w:t>the following</w:t>
            </w:r>
            <w:r w:rsidR="0011427E">
              <w:t xml:space="preserve"> requirements</w:t>
            </w:r>
            <w:r w:rsidR="0043384F">
              <w:t>:</w:t>
            </w:r>
          </w:p>
          <w:p w14:paraId="71B8AF46" w14:textId="0906D1F8" w:rsidR="0043384F" w:rsidRDefault="00B34F9C" w:rsidP="003F4B8F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digital license must be in a secure format and readily accessible by the license holder through a website and on a wireless communication device;</w:t>
            </w:r>
          </w:p>
          <w:p w14:paraId="22FFCD92" w14:textId="574CA512" w:rsidR="0043384F" w:rsidRDefault="00B34F9C" w:rsidP="003F4B8F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the public </w:t>
            </w:r>
            <w:r w:rsidR="00C23A4E">
              <w:t xml:space="preserve">must </w:t>
            </w:r>
            <w:r>
              <w:t xml:space="preserve">be able to view a license holder's digital license through a website or </w:t>
            </w:r>
            <w:r w:rsidR="00C23A4E">
              <w:t>by using a QR</w:t>
            </w:r>
            <w:r w:rsidR="0011427E" w:rsidRPr="0011427E">
              <w:t xml:space="preserve"> code</w:t>
            </w:r>
            <w:r>
              <w:t>; and</w:t>
            </w:r>
          </w:p>
          <w:p w14:paraId="524876E4" w14:textId="57DB2793" w:rsidR="0043384F" w:rsidRPr="009C36CD" w:rsidRDefault="00B34F9C" w:rsidP="003F4B8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if </w:t>
            </w:r>
            <w:r w:rsidR="00C23A4E">
              <w:t>the</w:t>
            </w:r>
            <w:r w:rsidR="000E237E">
              <w:t xml:space="preserve"> authority </w:t>
            </w:r>
            <w:r>
              <w:t>contracts with a vendor for the issuance of a digital license,</w:t>
            </w:r>
            <w:r w:rsidR="00D839E3">
              <w:t xml:space="preserve"> </w:t>
            </w:r>
            <w:r>
              <w:t>the digital license</w:t>
            </w:r>
            <w:r w:rsidR="00115D00">
              <w:t xml:space="preserve"> must</w:t>
            </w:r>
            <w:r>
              <w:t xml:space="preserve"> be in a format in which the vendor and</w:t>
            </w:r>
            <w:r w:rsidR="00B506EE">
              <w:t xml:space="preserve"> authority </w:t>
            </w:r>
            <w:r>
              <w:t>can ve</w:t>
            </w:r>
            <w:r>
              <w:t>rify the</w:t>
            </w:r>
            <w:r w:rsidR="00115D00">
              <w:t xml:space="preserve"> license's</w:t>
            </w:r>
            <w:r>
              <w:t xml:space="preserve"> validity.</w:t>
            </w:r>
          </w:p>
          <w:p w14:paraId="007B8896" w14:textId="77777777" w:rsidR="008423E4" w:rsidRPr="00835628" w:rsidRDefault="008423E4" w:rsidP="003F4B8F">
            <w:pPr>
              <w:rPr>
                <w:b/>
              </w:rPr>
            </w:pPr>
          </w:p>
        </w:tc>
      </w:tr>
      <w:tr w:rsidR="00D678C9" w14:paraId="3792777F" w14:textId="77777777" w:rsidTr="00345119">
        <w:tc>
          <w:tcPr>
            <w:tcW w:w="9576" w:type="dxa"/>
          </w:tcPr>
          <w:p w14:paraId="3CCAD43B" w14:textId="77777777" w:rsidR="008423E4" w:rsidRPr="00A8133F" w:rsidRDefault="00B34F9C" w:rsidP="003F4B8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3CBCE1" w14:textId="77777777" w:rsidR="008423E4" w:rsidRPr="00F15224" w:rsidRDefault="008423E4" w:rsidP="003F4B8F">
            <w:pPr>
              <w:rPr>
                <w:sz w:val="22"/>
                <w:szCs w:val="22"/>
              </w:rPr>
            </w:pPr>
          </w:p>
          <w:p w14:paraId="5126D303" w14:textId="440EF5CD" w:rsidR="008423E4" w:rsidRPr="003624F2" w:rsidRDefault="00B34F9C" w:rsidP="003F4B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979FAAC" w14:textId="77777777" w:rsidR="008423E4" w:rsidRPr="00233FDB" w:rsidRDefault="008423E4" w:rsidP="003F4B8F">
            <w:pPr>
              <w:rPr>
                <w:b/>
              </w:rPr>
            </w:pPr>
          </w:p>
        </w:tc>
      </w:tr>
      <w:tr w:rsidR="00D678C9" w14:paraId="0952D38C" w14:textId="77777777" w:rsidTr="00345119">
        <w:tc>
          <w:tcPr>
            <w:tcW w:w="9576" w:type="dxa"/>
          </w:tcPr>
          <w:p w14:paraId="0C824BF9" w14:textId="3D347130" w:rsidR="001C7365" w:rsidRDefault="00B34F9C" w:rsidP="003F4B8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3CE36DD" w14:textId="77777777" w:rsidR="00533A16" w:rsidRPr="00F15224" w:rsidRDefault="00533A16" w:rsidP="003F4B8F">
            <w:pPr>
              <w:jc w:val="both"/>
              <w:rPr>
                <w:sz w:val="22"/>
                <w:szCs w:val="22"/>
              </w:rPr>
            </w:pPr>
          </w:p>
          <w:p w14:paraId="4ABB531C" w14:textId="4242341A" w:rsidR="00533A16" w:rsidRDefault="00B34F9C" w:rsidP="003F4B8F">
            <w:pPr>
              <w:jc w:val="both"/>
            </w:pPr>
            <w:r>
              <w:t>While C.S.H.B. 2453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00D5AAEE" w14:textId="200B2C01" w:rsidR="00533A16" w:rsidRPr="00F15224" w:rsidRDefault="00533A16" w:rsidP="003F4B8F">
            <w:pPr>
              <w:jc w:val="both"/>
              <w:rPr>
                <w:sz w:val="22"/>
                <w:szCs w:val="22"/>
              </w:rPr>
            </w:pPr>
          </w:p>
          <w:p w14:paraId="113E99E7" w14:textId="066BCDDC" w:rsidR="00AC63B5" w:rsidRPr="00217414" w:rsidRDefault="00B34F9C" w:rsidP="003F4B8F">
            <w:pPr>
              <w:jc w:val="both"/>
            </w:pPr>
            <w:r>
              <w:t xml:space="preserve">The substitute </w:t>
            </w:r>
            <w:r w:rsidR="009E0FCE">
              <w:t xml:space="preserve">includes a definition for "licensing authority" that was absent from the introduced </w:t>
            </w:r>
            <w:r>
              <w:t>clarif</w:t>
            </w:r>
            <w:r w:rsidR="009E0FCE">
              <w:t>y</w:t>
            </w:r>
            <w:r w:rsidR="00940178">
              <w:t>ing</w:t>
            </w:r>
            <w:r>
              <w:t xml:space="preserve"> that the</w:t>
            </w:r>
            <w:r w:rsidR="009E0FCE">
              <w:t xml:space="preserve"> bill's</w:t>
            </w:r>
            <w:r>
              <w:t xml:space="preserve"> authori</w:t>
            </w:r>
            <w:r w:rsidR="00925CA2">
              <w:t>zation</w:t>
            </w:r>
            <w:r>
              <w:t xml:space="preserve"> to issue a digital license applies to </w:t>
            </w:r>
            <w:r w:rsidRPr="00B361EE">
              <w:t>a state agency, county, or municipality that is authorized to issue an occupational license</w:t>
            </w:r>
            <w:r w:rsidR="00940178">
              <w:t xml:space="preserve"> and accordingly includes a definition for "occupational license" that was absent from the introduced</w:t>
            </w:r>
            <w:r w:rsidRPr="00B361EE">
              <w:t xml:space="preserve">. </w:t>
            </w:r>
          </w:p>
          <w:p w14:paraId="6CE75F3C" w14:textId="77777777" w:rsidR="00AC63B5" w:rsidRPr="00F15224" w:rsidRDefault="00AC63B5" w:rsidP="003F4B8F">
            <w:pPr>
              <w:jc w:val="both"/>
              <w:rPr>
                <w:sz w:val="22"/>
                <w:szCs w:val="22"/>
              </w:rPr>
            </w:pPr>
          </w:p>
          <w:p w14:paraId="1EC51211" w14:textId="102A9097" w:rsidR="00533A16" w:rsidRPr="00533A16" w:rsidRDefault="00B34F9C" w:rsidP="003F4B8F">
            <w:pPr>
              <w:jc w:val="both"/>
            </w:pPr>
            <w:r>
              <w:t xml:space="preserve">Whereas the introduced </w:t>
            </w:r>
            <w:r w:rsidR="00354C67">
              <w:t>required</w:t>
            </w:r>
            <w:r w:rsidR="00B6208D">
              <w:t xml:space="preserve"> rules to provide for certain requirements of a digital license, </w:t>
            </w:r>
            <w:r w:rsidR="00354C67">
              <w:t xml:space="preserve">the substitute </w:t>
            </w:r>
            <w:r w:rsidR="00B6208D">
              <w:t xml:space="preserve">requires the </w:t>
            </w:r>
            <w:r w:rsidR="00354C67">
              <w:t xml:space="preserve">digital </w:t>
            </w:r>
            <w:r w:rsidR="00B6208D">
              <w:t xml:space="preserve">license </w:t>
            </w:r>
            <w:r w:rsidR="00354C67">
              <w:t xml:space="preserve">instead </w:t>
            </w:r>
            <w:r w:rsidR="00B6208D">
              <w:t>to comply with those requirements</w:t>
            </w:r>
            <w:r w:rsidR="00940178">
              <w:t xml:space="preserve"> and does not include a reference to rules</w:t>
            </w:r>
            <w:r w:rsidR="00B6208D">
              <w:t xml:space="preserve">. </w:t>
            </w:r>
            <w:r w:rsidR="00354C67">
              <w:t xml:space="preserve">Additionally with regard to those requirements, </w:t>
            </w:r>
            <w:r w:rsidR="00B506EE" w:rsidRPr="00B506EE">
              <w:t>the introduced</w:t>
            </w:r>
            <w:r w:rsidR="00B506EE">
              <w:t xml:space="preserve"> </w:t>
            </w:r>
            <w:r w:rsidR="00354C67">
              <w:t>provided for the issuance of</w:t>
            </w:r>
            <w:r w:rsidR="00B6208D">
              <w:t xml:space="preserve"> </w:t>
            </w:r>
            <w:r w:rsidR="00E678A2">
              <w:t>a digital license</w:t>
            </w:r>
            <w:r w:rsidR="004A0C16">
              <w:t xml:space="preserve"> </w:t>
            </w:r>
            <w:r w:rsidR="00354C67">
              <w:t>under</w:t>
            </w:r>
            <w:r w:rsidR="00DE6255">
              <w:t xml:space="preserve"> a contract </w:t>
            </w:r>
            <w:r w:rsidR="00940178">
              <w:t>between</w:t>
            </w:r>
            <w:r w:rsidR="00DE6255">
              <w:t xml:space="preserve"> </w:t>
            </w:r>
            <w:r w:rsidR="00354C67">
              <w:t xml:space="preserve">the </w:t>
            </w:r>
            <w:r w:rsidR="00354C67" w:rsidRPr="0043384F">
              <w:t>Texas Department of Licensing and Regulation</w:t>
            </w:r>
            <w:r w:rsidR="00354C67">
              <w:t xml:space="preserve"> (TDLR) and </w:t>
            </w:r>
            <w:r w:rsidR="00DE6255">
              <w:t>a vendor</w:t>
            </w:r>
            <w:r w:rsidR="00354C67">
              <w:t xml:space="preserve"> in a format in which the vendor and TDLR can verify the</w:t>
            </w:r>
            <w:r w:rsidR="00940178">
              <w:t xml:space="preserve"> license's</w:t>
            </w:r>
            <w:r w:rsidR="00354C67">
              <w:t xml:space="preserve"> validity,</w:t>
            </w:r>
            <w:r w:rsidR="00DE6255">
              <w:t xml:space="preserve"> </w:t>
            </w:r>
            <w:r w:rsidR="00E0274E" w:rsidRPr="00E0274E">
              <w:t>the substitute</w:t>
            </w:r>
            <w:r w:rsidR="00E0274E">
              <w:t xml:space="preserve"> </w:t>
            </w:r>
            <w:r w:rsidR="00354C67">
              <w:t xml:space="preserve">provides instead for the issuance of </w:t>
            </w:r>
            <w:r w:rsidR="00DE6255">
              <w:t>such a</w:t>
            </w:r>
            <w:r w:rsidR="00E0274E">
              <w:t xml:space="preserve"> license </w:t>
            </w:r>
            <w:r w:rsidR="00354C67">
              <w:t xml:space="preserve">under a contract </w:t>
            </w:r>
            <w:r w:rsidR="00940178">
              <w:t>between</w:t>
            </w:r>
            <w:r w:rsidR="00354C67">
              <w:t xml:space="preserve"> the licensing authority and a vendor in a format in which the vendor and the authority can verify that validit</w:t>
            </w:r>
            <w:r w:rsidR="00940178">
              <w:t>y</w:t>
            </w:r>
            <w:r w:rsidR="00E0274E">
              <w:t>.</w:t>
            </w:r>
          </w:p>
        </w:tc>
      </w:tr>
      <w:tr w:rsidR="00D678C9" w14:paraId="6E53FEA0" w14:textId="77777777" w:rsidTr="00345119">
        <w:tc>
          <w:tcPr>
            <w:tcW w:w="9576" w:type="dxa"/>
          </w:tcPr>
          <w:p w14:paraId="599CC590" w14:textId="77777777" w:rsidR="001C7365" w:rsidRPr="009C1E9A" w:rsidRDefault="001C7365" w:rsidP="003F4B8F">
            <w:pPr>
              <w:rPr>
                <w:b/>
                <w:u w:val="single"/>
              </w:rPr>
            </w:pPr>
          </w:p>
        </w:tc>
      </w:tr>
      <w:tr w:rsidR="00D678C9" w14:paraId="27395DD1" w14:textId="77777777" w:rsidTr="00345119">
        <w:tc>
          <w:tcPr>
            <w:tcW w:w="9576" w:type="dxa"/>
          </w:tcPr>
          <w:p w14:paraId="1653C857" w14:textId="77777777" w:rsidR="001C7365" w:rsidRPr="001C7365" w:rsidRDefault="001C7365" w:rsidP="003F4B8F">
            <w:pPr>
              <w:jc w:val="both"/>
            </w:pPr>
          </w:p>
        </w:tc>
      </w:tr>
    </w:tbl>
    <w:p w14:paraId="08FF02E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A1F2180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300C" w14:textId="77777777" w:rsidR="00000000" w:rsidRDefault="00B34F9C">
      <w:r>
        <w:separator/>
      </w:r>
    </w:p>
  </w:endnote>
  <w:endnote w:type="continuationSeparator" w:id="0">
    <w:p w14:paraId="446A1BC2" w14:textId="77777777" w:rsidR="00000000" w:rsidRDefault="00B3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44D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678C9" w14:paraId="1843F3A5" w14:textId="77777777" w:rsidTr="009C1E9A">
      <w:trPr>
        <w:cantSplit/>
      </w:trPr>
      <w:tc>
        <w:tcPr>
          <w:tcW w:w="0" w:type="pct"/>
        </w:tcPr>
        <w:p w14:paraId="29F630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B35E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30190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3DA6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81BA9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78C9" w14:paraId="05ABEBD2" w14:textId="77777777" w:rsidTr="009C1E9A">
      <w:trPr>
        <w:cantSplit/>
      </w:trPr>
      <w:tc>
        <w:tcPr>
          <w:tcW w:w="0" w:type="pct"/>
        </w:tcPr>
        <w:p w14:paraId="01E6B2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5F41A6" w14:textId="360F7364" w:rsidR="00EC379B" w:rsidRPr="009C1E9A" w:rsidRDefault="00B34F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21916-D</w:t>
          </w:r>
        </w:p>
      </w:tc>
      <w:tc>
        <w:tcPr>
          <w:tcW w:w="2453" w:type="pct"/>
        </w:tcPr>
        <w:p w14:paraId="03664684" w14:textId="60A3340E" w:rsidR="00EC379B" w:rsidRDefault="00B34F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4B8F">
            <w:t>23.94.455</w:t>
          </w:r>
          <w:r>
            <w:fldChar w:fldCharType="end"/>
          </w:r>
        </w:p>
      </w:tc>
    </w:tr>
    <w:tr w:rsidR="00D678C9" w14:paraId="6536C9C8" w14:textId="77777777" w:rsidTr="009C1E9A">
      <w:trPr>
        <w:cantSplit/>
      </w:trPr>
      <w:tc>
        <w:tcPr>
          <w:tcW w:w="0" w:type="pct"/>
        </w:tcPr>
        <w:p w14:paraId="2F82928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3B7982" w14:textId="34F3E058" w:rsidR="00EC379B" w:rsidRPr="009C1E9A" w:rsidRDefault="00B34F9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19925</w:t>
          </w:r>
        </w:p>
      </w:tc>
      <w:tc>
        <w:tcPr>
          <w:tcW w:w="2453" w:type="pct"/>
        </w:tcPr>
        <w:p w14:paraId="67B137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A050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78C9" w14:paraId="13A8DC1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1E7F5FF" w14:textId="77777777" w:rsidR="00EC379B" w:rsidRDefault="00B34F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AD4E0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010429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3DE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E4C9" w14:textId="77777777" w:rsidR="00000000" w:rsidRDefault="00B34F9C">
      <w:r>
        <w:separator/>
      </w:r>
    </w:p>
  </w:footnote>
  <w:footnote w:type="continuationSeparator" w:id="0">
    <w:p w14:paraId="78149BDB" w14:textId="77777777" w:rsidR="00000000" w:rsidRDefault="00B3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276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8F5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14E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2150"/>
    <w:multiLevelType w:val="hybridMultilevel"/>
    <w:tmpl w:val="6D98BB2E"/>
    <w:lvl w:ilvl="0" w:tplc="17EC1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20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3E9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0C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64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4E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A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61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49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8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C9C"/>
    <w:rsid w:val="000D2EBA"/>
    <w:rsid w:val="000D32A1"/>
    <w:rsid w:val="000D3725"/>
    <w:rsid w:val="000D46E5"/>
    <w:rsid w:val="000D769C"/>
    <w:rsid w:val="000E1976"/>
    <w:rsid w:val="000E20F1"/>
    <w:rsid w:val="000E237E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27E"/>
    <w:rsid w:val="00115D00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1C2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365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14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9A4"/>
    <w:rsid w:val="00234F58"/>
    <w:rsid w:val="0023507D"/>
    <w:rsid w:val="0024077A"/>
    <w:rsid w:val="00241B48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D29"/>
    <w:rsid w:val="00313DFE"/>
    <w:rsid w:val="003143B2"/>
    <w:rsid w:val="00314821"/>
    <w:rsid w:val="0031483F"/>
    <w:rsid w:val="00317027"/>
    <w:rsid w:val="0031741B"/>
    <w:rsid w:val="00321337"/>
    <w:rsid w:val="00321F2F"/>
    <w:rsid w:val="003237F6"/>
    <w:rsid w:val="00324077"/>
    <w:rsid w:val="0032453B"/>
    <w:rsid w:val="00324868"/>
    <w:rsid w:val="0032750D"/>
    <w:rsid w:val="003305F5"/>
    <w:rsid w:val="00333930"/>
    <w:rsid w:val="00336BA4"/>
    <w:rsid w:val="00336C7A"/>
    <w:rsid w:val="00337392"/>
    <w:rsid w:val="00337659"/>
    <w:rsid w:val="00341F04"/>
    <w:rsid w:val="003427C9"/>
    <w:rsid w:val="00343A92"/>
    <w:rsid w:val="00344530"/>
    <w:rsid w:val="003446DC"/>
    <w:rsid w:val="00345119"/>
    <w:rsid w:val="00347B4A"/>
    <w:rsid w:val="003500C3"/>
    <w:rsid w:val="003501AD"/>
    <w:rsid w:val="003523BD"/>
    <w:rsid w:val="00352681"/>
    <w:rsid w:val="003536AA"/>
    <w:rsid w:val="003544CE"/>
    <w:rsid w:val="00354C67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8D8"/>
    <w:rsid w:val="003A0296"/>
    <w:rsid w:val="003A10BC"/>
    <w:rsid w:val="003B1501"/>
    <w:rsid w:val="003B185E"/>
    <w:rsid w:val="003B198A"/>
    <w:rsid w:val="003B19B7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B8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84F"/>
    <w:rsid w:val="004350F3"/>
    <w:rsid w:val="00436980"/>
    <w:rsid w:val="00441016"/>
    <w:rsid w:val="00441F2F"/>
    <w:rsid w:val="0044228B"/>
    <w:rsid w:val="0044481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0C16"/>
    <w:rsid w:val="004A123F"/>
    <w:rsid w:val="004A2172"/>
    <w:rsid w:val="004A239F"/>
    <w:rsid w:val="004A576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A16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EA4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C4F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0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8FF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9A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A2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178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75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479"/>
    <w:rsid w:val="009A1883"/>
    <w:rsid w:val="009A39F5"/>
    <w:rsid w:val="009A4588"/>
    <w:rsid w:val="009A5BEA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FCE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9C2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AC0"/>
    <w:rsid w:val="00A5364B"/>
    <w:rsid w:val="00A54142"/>
    <w:rsid w:val="00A54C42"/>
    <w:rsid w:val="00A572B1"/>
    <w:rsid w:val="00A57679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17B"/>
    <w:rsid w:val="00A932BB"/>
    <w:rsid w:val="00A93579"/>
    <w:rsid w:val="00A93934"/>
    <w:rsid w:val="00A95D51"/>
    <w:rsid w:val="00AA18AE"/>
    <w:rsid w:val="00AA21C4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3B5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92F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4F9C"/>
    <w:rsid w:val="00B361EE"/>
    <w:rsid w:val="00B43672"/>
    <w:rsid w:val="00B473D8"/>
    <w:rsid w:val="00B506EE"/>
    <w:rsid w:val="00B5165A"/>
    <w:rsid w:val="00B524C1"/>
    <w:rsid w:val="00B52C8D"/>
    <w:rsid w:val="00B564BF"/>
    <w:rsid w:val="00B6104E"/>
    <w:rsid w:val="00B610C7"/>
    <w:rsid w:val="00B6208D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82C"/>
    <w:rsid w:val="00BD0A32"/>
    <w:rsid w:val="00BD1B8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3A4E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8C9"/>
    <w:rsid w:val="00D700B1"/>
    <w:rsid w:val="00D730FA"/>
    <w:rsid w:val="00D76631"/>
    <w:rsid w:val="00D768B7"/>
    <w:rsid w:val="00D77492"/>
    <w:rsid w:val="00D811E8"/>
    <w:rsid w:val="00D81A44"/>
    <w:rsid w:val="00D83072"/>
    <w:rsid w:val="00D839E3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255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74E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8A2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224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5A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CBB"/>
    <w:rsid w:val="00FC5388"/>
    <w:rsid w:val="00FC726C"/>
    <w:rsid w:val="00FD1B4B"/>
    <w:rsid w:val="00FD1B94"/>
    <w:rsid w:val="00FE19C5"/>
    <w:rsid w:val="00FE1EFF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F69B2-9E11-44AA-9DC6-72C796B0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35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35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5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5A1"/>
    <w:rPr>
      <w:b/>
      <w:bCs/>
    </w:rPr>
  </w:style>
  <w:style w:type="paragraph" w:styleId="Revision">
    <w:name w:val="Revision"/>
    <w:hidden/>
    <w:uiPriority w:val="99"/>
    <w:semiHidden/>
    <w:rsid w:val="009A147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2835</Characters>
  <Application>Microsoft Office Word</Application>
  <DocSecurity>4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HB02453 (Committee Report (Substituted))</vt:lpstr>
    </vt:vector>
  </TitlesOfParts>
  <Company>State of Texas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21916</dc:subject>
  <dc:creator>State of Texas</dc:creator>
  <dc:description>HB 2453 by Guillen-(H)Licensing &amp; Administrative Procedures (Substitute Document Number: 88R 19925)</dc:description>
  <cp:lastModifiedBy>Alan Gonzalez Otero</cp:lastModifiedBy>
  <cp:revision>2</cp:revision>
  <cp:lastPrinted>2003-11-26T17:21:00Z</cp:lastPrinted>
  <dcterms:created xsi:type="dcterms:W3CDTF">2023-04-11T16:18:00Z</dcterms:created>
  <dcterms:modified xsi:type="dcterms:W3CDTF">2023-04-11T16:18:00Z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23.94.455</vt:lpwstr>
  </property>
</Properties>
</file>