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FC4FD5" w14:paraId="5A8BF827" w14:textId="77777777" w:rsidTr="00345119">
        <w:tc>
          <w:tcPr>
            <w:tcW w:w="9576" w:type="dxa"/>
            <w:noWrap/>
          </w:tcPr>
          <w:p w14:paraId="2E003F5F" w14:textId="77777777" w:rsidR="008423E4" w:rsidRPr="0022177D" w:rsidRDefault="00E94D3D" w:rsidP="00EF55A3">
            <w:pPr>
              <w:pStyle w:val="Heading1"/>
            </w:pPr>
            <w:r w:rsidRPr="00631897">
              <w:t>BILL ANALYSIS</w:t>
            </w:r>
          </w:p>
        </w:tc>
      </w:tr>
    </w:tbl>
    <w:p w14:paraId="46BBC570" w14:textId="77777777" w:rsidR="008423E4" w:rsidRPr="0022177D" w:rsidRDefault="008423E4" w:rsidP="00EF55A3">
      <w:pPr>
        <w:jc w:val="center"/>
      </w:pPr>
    </w:p>
    <w:p w14:paraId="2C92284A" w14:textId="77777777" w:rsidR="008423E4" w:rsidRPr="00B31F0E" w:rsidRDefault="008423E4" w:rsidP="00EF55A3"/>
    <w:p w14:paraId="7E20671C" w14:textId="77777777" w:rsidR="008423E4" w:rsidRPr="00742794" w:rsidRDefault="008423E4" w:rsidP="00EF55A3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FC4FD5" w14:paraId="4AD7B6E6" w14:textId="77777777" w:rsidTr="00345119">
        <w:tc>
          <w:tcPr>
            <w:tcW w:w="9576" w:type="dxa"/>
          </w:tcPr>
          <w:p w14:paraId="3C20A145" w14:textId="77777777" w:rsidR="008423E4" w:rsidRPr="00861995" w:rsidRDefault="00E94D3D" w:rsidP="00EF55A3">
            <w:pPr>
              <w:jc w:val="right"/>
            </w:pPr>
            <w:r>
              <w:t>C.S.H.B. 2458</w:t>
            </w:r>
          </w:p>
        </w:tc>
      </w:tr>
      <w:tr w:rsidR="00FC4FD5" w14:paraId="4DAA02E9" w14:textId="77777777" w:rsidTr="00345119">
        <w:tc>
          <w:tcPr>
            <w:tcW w:w="9576" w:type="dxa"/>
          </w:tcPr>
          <w:p w14:paraId="50905F6F" w14:textId="77777777" w:rsidR="008423E4" w:rsidRPr="00861995" w:rsidRDefault="00E94D3D" w:rsidP="00EF55A3">
            <w:pPr>
              <w:jc w:val="right"/>
            </w:pPr>
            <w:r>
              <w:t xml:space="preserve">By: </w:t>
            </w:r>
            <w:r w:rsidR="002E2D8E">
              <w:t>Vo</w:t>
            </w:r>
          </w:p>
        </w:tc>
      </w:tr>
      <w:tr w:rsidR="00FC4FD5" w14:paraId="0DC69563" w14:textId="77777777" w:rsidTr="00345119">
        <w:tc>
          <w:tcPr>
            <w:tcW w:w="9576" w:type="dxa"/>
          </w:tcPr>
          <w:p w14:paraId="0E3E7977" w14:textId="77777777" w:rsidR="008423E4" w:rsidRPr="00861995" w:rsidRDefault="00E94D3D" w:rsidP="00EF55A3">
            <w:pPr>
              <w:jc w:val="right"/>
            </w:pPr>
            <w:r>
              <w:t>Business &amp; Industry</w:t>
            </w:r>
          </w:p>
        </w:tc>
      </w:tr>
      <w:tr w:rsidR="00FC4FD5" w14:paraId="23719670" w14:textId="77777777" w:rsidTr="00345119">
        <w:tc>
          <w:tcPr>
            <w:tcW w:w="9576" w:type="dxa"/>
          </w:tcPr>
          <w:p w14:paraId="165DB190" w14:textId="77777777" w:rsidR="008423E4" w:rsidRDefault="00E94D3D" w:rsidP="00EF55A3">
            <w:pPr>
              <w:jc w:val="right"/>
            </w:pPr>
            <w:r>
              <w:t>Committee Report (Substituted)</w:t>
            </w:r>
          </w:p>
        </w:tc>
      </w:tr>
    </w:tbl>
    <w:p w14:paraId="57A51835" w14:textId="77777777" w:rsidR="008423E4" w:rsidRDefault="008423E4" w:rsidP="00EF55A3">
      <w:pPr>
        <w:tabs>
          <w:tab w:val="right" w:pos="9360"/>
        </w:tabs>
      </w:pPr>
    </w:p>
    <w:p w14:paraId="739E9B11" w14:textId="77777777" w:rsidR="008423E4" w:rsidRDefault="008423E4" w:rsidP="00EF55A3"/>
    <w:p w14:paraId="26AFD802" w14:textId="77777777" w:rsidR="008423E4" w:rsidRDefault="008423E4" w:rsidP="00EF55A3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FC4FD5" w14:paraId="637B35C0" w14:textId="77777777" w:rsidTr="00345119">
        <w:tc>
          <w:tcPr>
            <w:tcW w:w="9576" w:type="dxa"/>
          </w:tcPr>
          <w:p w14:paraId="42FE8FE1" w14:textId="77777777" w:rsidR="008423E4" w:rsidRPr="00A8133F" w:rsidRDefault="00E94D3D" w:rsidP="00EF55A3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3AE28BB2" w14:textId="77777777" w:rsidR="008423E4" w:rsidRDefault="008423E4" w:rsidP="00EF55A3"/>
          <w:p w14:paraId="709E1111" w14:textId="77777777" w:rsidR="008423E4" w:rsidRDefault="00E94D3D" w:rsidP="00EF55A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0C63FF">
              <w:t xml:space="preserve">The Texas </w:t>
            </w:r>
            <w:r w:rsidR="00C642FD">
              <w:t>u</w:t>
            </w:r>
            <w:r w:rsidRPr="000C63FF">
              <w:t xml:space="preserve">nemployment </w:t>
            </w:r>
            <w:r w:rsidR="00C642FD">
              <w:t>i</w:t>
            </w:r>
            <w:r w:rsidRPr="000C63FF">
              <w:t xml:space="preserve">nsurance system was tested in ways it had never been </w:t>
            </w:r>
            <w:r w:rsidR="00C642FD">
              <w:t xml:space="preserve">tested </w:t>
            </w:r>
            <w:r w:rsidRPr="000C63FF">
              <w:t xml:space="preserve">before during the COVID-19 pandemic. During this period, </w:t>
            </w:r>
            <w:r w:rsidR="00C642FD">
              <w:t xml:space="preserve">fraudsters became aware of the </w:t>
            </w:r>
            <w:r w:rsidRPr="000C63FF">
              <w:t xml:space="preserve">federal money that was added to </w:t>
            </w:r>
            <w:r w:rsidR="00C642FD">
              <w:t xml:space="preserve">unemployment </w:t>
            </w:r>
            <w:r w:rsidRPr="000C63FF">
              <w:t>claim payments</w:t>
            </w:r>
            <w:r w:rsidR="00C642FD">
              <w:t xml:space="preserve"> </w:t>
            </w:r>
            <w:r w:rsidRPr="000C63FF">
              <w:t xml:space="preserve">and misrepresented their earning and eligibility status </w:t>
            </w:r>
            <w:r w:rsidR="00C642FD">
              <w:t>to</w:t>
            </w:r>
            <w:r w:rsidRPr="000C63FF">
              <w:t xml:space="preserve"> receive these increased benefits.</w:t>
            </w:r>
            <w:r>
              <w:t xml:space="preserve"> </w:t>
            </w:r>
            <w:r w:rsidRPr="000C63FF">
              <w:t>C</w:t>
            </w:r>
            <w:r w:rsidR="00C642FD">
              <w:t>.</w:t>
            </w:r>
            <w:r w:rsidRPr="000C63FF">
              <w:t>S</w:t>
            </w:r>
            <w:r w:rsidR="00C642FD">
              <w:t>.</w:t>
            </w:r>
            <w:r w:rsidRPr="000C63FF">
              <w:t>H</w:t>
            </w:r>
            <w:r w:rsidR="00C642FD">
              <w:t>.</w:t>
            </w:r>
            <w:r w:rsidRPr="000C63FF">
              <w:t>B</w:t>
            </w:r>
            <w:r w:rsidR="00C642FD">
              <w:t>.</w:t>
            </w:r>
            <w:r w:rsidRPr="000C63FF">
              <w:t xml:space="preserve"> 2458 s</w:t>
            </w:r>
            <w:r w:rsidRPr="000C63FF">
              <w:t xml:space="preserve">eeks to prevent an individual from </w:t>
            </w:r>
            <w:r w:rsidR="00C642FD">
              <w:t xml:space="preserve">defrauding or attempting to defraud the unemployment insurance system by </w:t>
            </w:r>
            <w:r w:rsidR="00FB0A29">
              <w:t xml:space="preserve">requiring </w:t>
            </w:r>
            <w:r w:rsidRPr="000C63FF">
              <w:t xml:space="preserve">any previous fraudulent overpayment and penalties </w:t>
            </w:r>
            <w:r w:rsidR="00FB0A29">
              <w:t>to be</w:t>
            </w:r>
            <w:r w:rsidRPr="000C63FF">
              <w:t xml:space="preserve"> repaid to </w:t>
            </w:r>
            <w:r w:rsidR="00FB0A29">
              <w:t xml:space="preserve">the </w:t>
            </w:r>
            <w:r w:rsidRPr="000C63FF">
              <w:t>T</w:t>
            </w:r>
            <w:r w:rsidR="00FB0A29">
              <w:t xml:space="preserve">exas </w:t>
            </w:r>
            <w:r w:rsidRPr="000C63FF">
              <w:t>W</w:t>
            </w:r>
            <w:r w:rsidR="00FB0A29">
              <w:t xml:space="preserve">orkforce </w:t>
            </w:r>
            <w:r w:rsidRPr="000C63FF">
              <w:t>C</w:t>
            </w:r>
            <w:r w:rsidR="00FB0A29">
              <w:t>ommission before an individual may file a new claim for benefits</w:t>
            </w:r>
            <w:r w:rsidRPr="000C63FF">
              <w:t xml:space="preserve">. </w:t>
            </w:r>
          </w:p>
          <w:p w14:paraId="081D34B2" w14:textId="6F7EDAD5" w:rsidR="00AB071A" w:rsidRPr="00E26B13" w:rsidRDefault="00AB071A" w:rsidP="00EF55A3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</w:p>
        </w:tc>
      </w:tr>
      <w:tr w:rsidR="00FC4FD5" w14:paraId="244A4C60" w14:textId="77777777" w:rsidTr="00345119">
        <w:tc>
          <w:tcPr>
            <w:tcW w:w="9576" w:type="dxa"/>
          </w:tcPr>
          <w:p w14:paraId="08CA0396" w14:textId="77777777" w:rsidR="0017725B" w:rsidRDefault="00E94D3D" w:rsidP="00EF55A3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48F83622" w14:textId="77777777" w:rsidR="0017725B" w:rsidRDefault="0017725B" w:rsidP="00EF55A3">
            <w:pPr>
              <w:rPr>
                <w:b/>
                <w:u w:val="single"/>
              </w:rPr>
            </w:pPr>
          </w:p>
          <w:p w14:paraId="7F997AFA" w14:textId="3E0FD22A" w:rsidR="006B5F50" w:rsidRPr="006B5F50" w:rsidRDefault="00E94D3D" w:rsidP="00EF55A3">
            <w:pPr>
              <w:jc w:val="both"/>
            </w:pPr>
            <w:r>
              <w:t xml:space="preserve">It is the committee's opinion that this bill does not expressly create a criminal offense, increase the punishment for an existing criminal offense or category of offenses, or change the eligibility of a </w:t>
            </w:r>
            <w:r>
              <w:t>person for community supervision, parole, or mandatory supervision.</w:t>
            </w:r>
          </w:p>
          <w:p w14:paraId="6E3FE53D" w14:textId="77777777" w:rsidR="0017725B" w:rsidRPr="0017725B" w:rsidRDefault="0017725B" w:rsidP="00EF55A3">
            <w:pPr>
              <w:rPr>
                <w:b/>
                <w:u w:val="single"/>
              </w:rPr>
            </w:pPr>
          </w:p>
        </w:tc>
      </w:tr>
      <w:tr w:rsidR="00FC4FD5" w14:paraId="45C4C2B3" w14:textId="77777777" w:rsidTr="00345119">
        <w:tc>
          <w:tcPr>
            <w:tcW w:w="9576" w:type="dxa"/>
          </w:tcPr>
          <w:p w14:paraId="5160B20D" w14:textId="77777777" w:rsidR="008423E4" w:rsidRPr="00A8133F" w:rsidRDefault="00E94D3D" w:rsidP="00EF55A3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059B78E3" w14:textId="77777777" w:rsidR="008423E4" w:rsidRDefault="008423E4" w:rsidP="00EF55A3"/>
          <w:p w14:paraId="3C310FC6" w14:textId="4136E2F7" w:rsidR="006B5F50" w:rsidRDefault="00E94D3D" w:rsidP="00EF55A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2363C68D" w14:textId="77777777" w:rsidR="008423E4" w:rsidRPr="00E21FDC" w:rsidRDefault="008423E4" w:rsidP="00EF55A3">
            <w:pPr>
              <w:rPr>
                <w:b/>
              </w:rPr>
            </w:pPr>
          </w:p>
        </w:tc>
      </w:tr>
      <w:tr w:rsidR="00FC4FD5" w14:paraId="3C29A8B8" w14:textId="77777777" w:rsidTr="00345119">
        <w:tc>
          <w:tcPr>
            <w:tcW w:w="9576" w:type="dxa"/>
          </w:tcPr>
          <w:p w14:paraId="286E1EB3" w14:textId="77777777" w:rsidR="008423E4" w:rsidRPr="00A8133F" w:rsidRDefault="00E94D3D" w:rsidP="00EF55A3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239C926B" w14:textId="77777777" w:rsidR="008423E4" w:rsidRDefault="008423E4" w:rsidP="00EF55A3"/>
          <w:p w14:paraId="552A8131" w14:textId="03819A9A" w:rsidR="006B5F50" w:rsidRDefault="00E94D3D" w:rsidP="00EF55A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</w:t>
            </w:r>
            <w:r w:rsidR="00F430DA">
              <w:t>H.B. 2458 amends the Labor Code</w:t>
            </w:r>
            <w:r w:rsidR="002B5205">
              <w:t xml:space="preserve"> to </w:t>
            </w:r>
            <w:r w:rsidR="00AF2CD7">
              <w:t xml:space="preserve">include among </w:t>
            </w:r>
            <w:r w:rsidR="002B5205">
              <w:t xml:space="preserve">the eligibility </w:t>
            </w:r>
            <w:r w:rsidR="00FF66F7">
              <w:t xml:space="preserve">requirements an unemployed individual must meet </w:t>
            </w:r>
            <w:r w:rsidR="002B5205" w:rsidRPr="002B5205">
              <w:t xml:space="preserve">for unemployment benefits </w:t>
            </w:r>
            <w:r w:rsidR="002B5205">
              <w:t xml:space="preserve">under the </w:t>
            </w:r>
            <w:r w:rsidR="002B5205" w:rsidRPr="002B5205">
              <w:t>Texas Unemployment Compensation Act</w:t>
            </w:r>
            <w:r w:rsidR="002B5205">
              <w:t xml:space="preserve"> </w:t>
            </w:r>
            <w:r w:rsidR="00FF66F7">
              <w:t>the</w:t>
            </w:r>
            <w:r w:rsidR="002B5205">
              <w:t xml:space="preserve"> </w:t>
            </w:r>
            <w:r w:rsidR="002B5205" w:rsidRPr="002B5205">
              <w:t>satisf</w:t>
            </w:r>
            <w:r w:rsidR="00FF66F7">
              <w:t>action of</w:t>
            </w:r>
            <w:r w:rsidR="002B5205" w:rsidRPr="002B5205">
              <w:t xml:space="preserve"> any outstanding obligation in relation to</w:t>
            </w:r>
            <w:r w:rsidR="00AF2CD7">
              <w:t xml:space="preserve"> unemployment</w:t>
            </w:r>
            <w:r w:rsidR="002B5205" w:rsidRPr="002B5205">
              <w:t xml:space="preserve"> benefits forfeited by the individual </w:t>
            </w:r>
            <w:r w:rsidR="00BF25BB">
              <w:t>on the grounds that the</w:t>
            </w:r>
            <w:r w:rsidR="00FF66F7">
              <w:t xml:space="preserve">y </w:t>
            </w:r>
            <w:r w:rsidR="00BF25BB">
              <w:t xml:space="preserve">received the benefits by </w:t>
            </w:r>
            <w:r w:rsidR="00BF25BB" w:rsidRPr="00BF25BB">
              <w:t>wilful nondisclosure or misrepresentation of a material fact</w:t>
            </w:r>
            <w:r w:rsidR="00BF25BB">
              <w:t xml:space="preserve"> of the</w:t>
            </w:r>
            <w:r w:rsidR="00FF66F7">
              <w:t>ir</w:t>
            </w:r>
            <w:r w:rsidR="00BF25BB">
              <w:t xml:space="preserve"> qualification for benefits</w:t>
            </w:r>
            <w:r>
              <w:t>. The bill establ</w:t>
            </w:r>
            <w:r>
              <w:t xml:space="preserve">ishes the following regarding this eligibility </w:t>
            </w:r>
            <w:r w:rsidR="00FF66F7">
              <w:t>requirement</w:t>
            </w:r>
            <w:r>
              <w:t>:</w:t>
            </w:r>
          </w:p>
          <w:p w14:paraId="4AC44BB3" w14:textId="1E14BE25" w:rsidR="006B5F50" w:rsidRDefault="00E94D3D" w:rsidP="00EF55A3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the </w:t>
            </w:r>
            <w:r w:rsidR="00FF66F7">
              <w:t>requirement</w:t>
            </w:r>
            <w:r>
              <w:t xml:space="preserve"> applies </w:t>
            </w:r>
            <w:r w:rsidR="00BF25BB" w:rsidRPr="002B5205">
              <w:t>only if the benefit period for which the individual is seeking benefits is not in the same benefit year in which the nondisclosure or misrepresentation of a material fact occurred</w:t>
            </w:r>
            <w:r>
              <w:t>; and</w:t>
            </w:r>
          </w:p>
          <w:p w14:paraId="729D0985" w14:textId="1CCF4DC3" w:rsidR="006B5F50" w:rsidRDefault="00E94D3D" w:rsidP="00EF55A3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jc w:val="both"/>
            </w:pPr>
            <w:r>
              <w:t>t</w:t>
            </w:r>
            <w:r w:rsidR="00BF25BB">
              <w:t>he amount that must be satisfied includes</w:t>
            </w:r>
            <w:r w:rsidR="00BF25BB" w:rsidRPr="002B5205">
              <w:t xml:space="preserve"> </w:t>
            </w:r>
            <w:r w:rsidR="002B5205" w:rsidRPr="002B5205">
              <w:t>the amount of any penalty assessed against the individual</w:t>
            </w:r>
            <w:r w:rsidR="00BF25BB">
              <w:t>.</w:t>
            </w:r>
            <w:r w:rsidR="002B5205" w:rsidRPr="002B5205">
              <w:t xml:space="preserve"> </w:t>
            </w:r>
          </w:p>
          <w:p w14:paraId="09517C60" w14:textId="59F5258D" w:rsidR="004E6338" w:rsidRDefault="00E94D3D" w:rsidP="00EF55A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4E6338">
              <w:t xml:space="preserve">With respect to an initial claim for </w:t>
            </w:r>
            <w:r>
              <w:t xml:space="preserve">such </w:t>
            </w:r>
            <w:r w:rsidRPr="004E6338">
              <w:t xml:space="preserve">benefits, </w:t>
            </w:r>
            <w:r>
              <w:t xml:space="preserve">the bill </w:t>
            </w:r>
            <w:r w:rsidR="00657D2E">
              <w:t>removes the following as persons to whom</w:t>
            </w:r>
            <w:r>
              <w:t xml:space="preserve"> </w:t>
            </w:r>
            <w:r w:rsidR="00657D2E">
              <w:t>the terms</w:t>
            </w:r>
            <w:r>
              <w:t xml:space="preserve"> "last work" and</w:t>
            </w:r>
            <w:r w:rsidRPr="00227FD1">
              <w:t xml:space="preserve"> </w:t>
            </w:r>
            <w:r>
              <w:t>"</w:t>
            </w:r>
            <w:r w:rsidRPr="00227FD1">
              <w:t xml:space="preserve">person for whom the claimant </w:t>
            </w:r>
            <w:r w:rsidR="00217934">
              <w:t>last</w:t>
            </w:r>
            <w:r w:rsidR="00217934" w:rsidRPr="00227FD1">
              <w:t xml:space="preserve"> </w:t>
            </w:r>
            <w:r w:rsidRPr="00227FD1">
              <w:t>worked</w:t>
            </w:r>
            <w:r>
              <w:t xml:space="preserve">" </w:t>
            </w:r>
            <w:r w:rsidR="00657D2E">
              <w:t>refer</w:t>
            </w:r>
            <w:r>
              <w:t>:</w:t>
            </w:r>
            <w:r w:rsidRPr="00227FD1">
              <w:t xml:space="preserve"> </w:t>
            </w:r>
          </w:p>
          <w:p w14:paraId="161D14CB" w14:textId="5242EB43" w:rsidR="004E6338" w:rsidRDefault="00E94D3D" w:rsidP="00EF55A3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 w:rsidRPr="00227FD1">
              <w:t>the</w:t>
            </w:r>
            <w:r>
              <w:t xml:space="preserve"> last person for whom the</w:t>
            </w:r>
            <w:r w:rsidRPr="00227FD1">
              <w:t xml:space="preserve"> claimant </w:t>
            </w:r>
            <w:r>
              <w:t xml:space="preserve">actually </w:t>
            </w:r>
            <w:r w:rsidRPr="00227FD1">
              <w:t>worked</w:t>
            </w:r>
            <w:r>
              <w:t>, if the claimant worked</w:t>
            </w:r>
            <w:r w:rsidRPr="00227FD1">
              <w:t xml:space="preserve"> for that person for at least 30 hours during a week</w:t>
            </w:r>
            <w:r>
              <w:t xml:space="preserve">; and </w:t>
            </w:r>
          </w:p>
          <w:p w14:paraId="74B35FC6" w14:textId="24BDB49A" w:rsidR="004E6338" w:rsidRDefault="00E94D3D" w:rsidP="00EF55A3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>the employer</w:t>
            </w:r>
            <w:r w:rsidR="00657D2E">
              <w:t>,</w:t>
            </w:r>
            <w:r>
              <w:t xml:space="preserve"> as defined by </w:t>
            </w:r>
            <w:r w:rsidRPr="00901A94">
              <w:t xml:space="preserve">the unemployment law of </w:t>
            </w:r>
            <w:r w:rsidRPr="00901A94">
              <w:t>any other state</w:t>
            </w:r>
            <w:r>
              <w:t xml:space="preserve"> </w:t>
            </w:r>
            <w:r w:rsidR="00657D2E">
              <w:t>for whom the claimant last worked</w:t>
            </w:r>
            <w:r>
              <w:t>.</w:t>
            </w:r>
          </w:p>
          <w:p w14:paraId="50C53E9D" w14:textId="710E448C" w:rsidR="004E6338" w:rsidRDefault="004E6338" w:rsidP="00EF55A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48A9E119" w14:textId="2CAE6BB0" w:rsidR="009C36CD" w:rsidRPr="009C36CD" w:rsidRDefault="00E94D3D" w:rsidP="00EF55A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C.S.H.B. 2458 </w:t>
            </w:r>
            <w:r w:rsidRPr="004E6338">
              <w:t>appl</w:t>
            </w:r>
            <w:r w:rsidR="003B0EB8">
              <w:t>ies</w:t>
            </w:r>
            <w:r w:rsidRPr="004E6338">
              <w:t xml:space="preserve"> only to a claim for unemployment compensation benefits filed with the Texas Workforce Commission on or after the</w:t>
            </w:r>
            <w:r w:rsidR="00CD6043">
              <w:t xml:space="preserve"> bill's</w:t>
            </w:r>
            <w:r w:rsidRPr="004E6338">
              <w:t xml:space="preserve"> effective date</w:t>
            </w:r>
            <w:r>
              <w:t>.</w:t>
            </w:r>
          </w:p>
          <w:p w14:paraId="382D47D6" w14:textId="77777777" w:rsidR="008423E4" w:rsidRPr="00835628" w:rsidRDefault="008423E4" w:rsidP="00EF55A3">
            <w:pPr>
              <w:rPr>
                <w:b/>
              </w:rPr>
            </w:pPr>
          </w:p>
        </w:tc>
      </w:tr>
      <w:tr w:rsidR="00FC4FD5" w14:paraId="4E6F0F41" w14:textId="77777777" w:rsidTr="00345119">
        <w:tc>
          <w:tcPr>
            <w:tcW w:w="9576" w:type="dxa"/>
          </w:tcPr>
          <w:p w14:paraId="253A7BBA" w14:textId="77777777" w:rsidR="008423E4" w:rsidRPr="00A8133F" w:rsidRDefault="00E94D3D" w:rsidP="00EF55A3">
            <w:pPr>
              <w:keepNext/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4FA96317" w14:textId="77777777" w:rsidR="008423E4" w:rsidRDefault="008423E4" w:rsidP="00EF55A3"/>
          <w:p w14:paraId="304B3F00" w14:textId="5FA52509" w:rsidR="008423E4" w:rsidRPr="003624F2" w:rsidRDefault="00E94D3D" w:rsidP="00EF55A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51BCAE14" w14:textId="77777777" w:rsidR="008423E4" w:rsidRPr="00233FDB" w:rsidRDefault="008423E4" w:rsidP="00EF55A3">
            <w:pPr>
              <w:rPr>
                <w:b/>
              </w:rPr>
            </w:pPr>
          </w:p>
        </w:tc>
      </w:tr>
      <w:tr w:rsidR="00FC4FD5" w14:paraId="5FFF3F88" w14:textId="77777777" w:rsidTr="00345119">
        <w:tc>
          <w:tcPr>
            <w:tcW w:w="9576" w:type="dxa"/>
          </w:tcPr>
          <w:p w14:paraId="15A9103A" w14:textId="77777777" w:rsidR="002E2D8E" w:rsidRDefault="00E94D3D" w:rsidP="00EF55A3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INTRODUCED AND SUBSTITUTE</w:t>
            </w:r>
          </w:p>
          <w:p w14:paraId="6B364369" w14:textId="77777777" w:rsidR="004E6338" w:rsidRDefault="004E6338" w:rsidP="00EF55A3">
            <w:pPr>
              <w:jc w:val="both"/>
            </w:pPr>
          </w:p>
          <w:p w14:paraId="6D9907B9" w14:textId="7308B66C" w:rsidR="004E6338" w:rsidRDefault="00E94D3D" w:rsidP="00EF55A3">
            <w:pPr>
              <w:jc w:val="both"/>
            </w:pPr>
            <w:r>
              <w:t>While C.S.H.B. 2458 may differ from the introduced in minor or nonsubstantive ways, the following summarizes the substantial differences between the introduced and committee substitute versions of the bill.</w:t>
            </w:r>
          </w:p>
          <w:p w14:paraId="67304E58" w14:textId="0CBD81E4" w:rsidR="008E5FF4" w:rsidRDefault="008E5FF4" w:rsidP="00EF55A3">
            <w:pPr>
              <w:jc w:val="both"/>
            </w:pPr>
          </w:p>
          <w:p w14:paraId="712DEB22" w14:textId="73060083" w:rsidR="00487B98" w:rsidRDefault="00E94D3D" w:rsidP="00EF55A3">
            <w:pPr>
              <w:jc w:val="both"/>
            </w:pPr>
            <w:r w:rsidRPr="00B21BB7">
              <w:t xml:space="preserve">The substitute </w:t>
            </w:r>
            <w:r w:rsidR="006B5F50">
              <w:t>omits</w:t>
            </w:r>
            <w:r w:rsidRPr="00B21BB7">
              <w:t xml:space="preserve"> </w:t>
            </w:r>
            <w:r>
              <w:t xml:space="preserve">the following </w:t>
            </w:r>
            <w:r w:rsidRPr="00B21BB7">
              <w:t>provisions that appeared in the introduced</w:t>
            </w:r>
            <w:r>
              <w:t xml:space="preserve"> </w:t>
            </w:r>
            <w:r w:rsidR="00A943D6">
              <w:t xml:space="preserve">prescribing the manner in which the </w:t>
            </w:r>
            <w:r w:rsidR="00A943D6" w:rsidRPr="00C950B0">
              <w:t>T</w:t>
            </w:r>
            <w:r w:rsidR="00A943D6">
              <w:t>exas Workforce Commission (</w:t>
            </w:r>
            <w:r w:rsidR="00A943D6" w:rsidRPr="00C950B0">
              <w:t>TWC</w:t>
            </w:r>
            <w:r w:rsidR="00A943D6">
              <w:t>) collects improper unemployment compensation benefits and associated penalties</w:t>
            </w:r>
            <w:r>
              <w:t>:</w:t>
            </w:r>
          </w:p>
          <w:p w14:paraId="1D8A9443" w14:textId="2AD3128F" w:rsidR="008A7D92" w:rsidRDefault="00E94D3D" w:rsidP="00EF55A3">
            <w:pPr>
              <w:pStyle w:val="ListParagraph"/>
              <w:numPr>
                <w:ilvl w:val="0"/>
                <w:numId w:val="2"/>
              </w:numPr>
              <w:contextualSpacing w:val="0"/>
              <w:jc w:val="both"/>
            </w:pPr>
            <w:r>
              <w:t>a provision increasing the amo</w:t>
            </w:r>
            <w:r>
              <w:t>unt of the required penalty for a person who forfeits a benefit the person received by wilful nondisclosure or misrepresentation of a material fact, from an amount equal to 15 percent of the amount forfeited to 50 percent of that amount;</w:t>
            </w:r>
          </w:p>
          <w:p w14:paraId="450416C5" w14:textId="484EA487" w:rsidR="004133FD" w:rsidRDefault="00E94D3D" w:rsidP="00EF55A3">
            <w:pPr>
              <w:pStyle w:val="ListParagraph"/>
              <w:numPr>
                <w:ilvl w:val="0"/>
                <w:numId w:val="2"/>
              </w:numPr>
              <w:contextualSpacing w:val="0"/>
              <w:jc w:val="both"/>
            </w:pPr>
            <w:r>
              <w:t>provisions establi</w:t>
            </w:r>
            <w:r>
              <w:t>shing methods by which TWC may collect such penalties</w:t>
            </w:r>
            <w:r w:rsidR="004D0653">
              <w:t>,</w:t>
            </w:r>
            <w:r>
              <w:t xml:space="preserve"> requiring TWC by rule to prescribe a base amount </w:t>
            </w:r>
            <w:r w:rsidR="00D66CE4" w:rsidRPr="00D66CE4">
              <w:t xml:space="preserve">which is exempt from levy to recover the </w:t>
            </w:r>
            <w:r w:rsidR="00D66CE4">
              <w:t>forfeited</w:t>
            </w:r>
            <w:r w:rsidR="00D66CE4" w:rsidRPr="00D66CE4">
              <w:t xml:space="preserve"> benefits, with associated </w:t>
            </w:r>
            <w:r w:rsidR="00D66CE4">
              <w:t xml:space="preserve">imposed </w:t>
            </w:r>
            <w:r w:rsidR="00D66CE4" w:rsidRPr="00D66CE4">
              <w:t>penalties</w:t>
            </w:r>
            <w:r w:rsidR="004D0653">
              <w:t>, and establishing</w:t>
            </w:r>
            <w:r w:rsidR="00D66CE4">
              <w:t xml:space="preserve"> the</w:t>
            </w:r>
            <w:r w:rsidR="004D0653">
              <w:t xml:space="preserve"> inapplicability of the exemption of a right to benefits from debt collection to such</w:t>
            </w:r>
            <w:r w:rsidR="00DA1395">
              <w:t xml:space="preserve"> benefits and</w:t>
            </w:r>
            <w:r w:rsidR="004D0653">
              <w:t xml:space="preserve"> penalties</w:t>
            </w:r>
            <w:r>
              <w:t>;</w:t>
            </w:r>
          </w:p>
          <w:p w14:paraId="48DA8FAB" w14:textId="2613EF80" w:rsidR="00A91E00" w:rsidRDefault="00E94D3D" w:rsidP="00EF55A3">
            <w:pPr>
              <w:pStyle w:val="ListParagraph"/>
              <w:numPr>
                <w:ilvl w:val="0"/>
                <w:numId w:val="2"/>
              </w:numPr>
              <w:contextualSpacing w:val="0"/>
              <w:jc w:val="both"/>
            </w:pPr>
            <w:r>
              <w:t xml:space="preserve">a </w:t>
            </w:r>
            <w:r w:rsidR="00B21BB7">
              <w:t>requir</w:t>
            </w:r>
            <w:r w:rsidR="004D0653">
              <w:t>ement for</w:t>
            </w:r>
            <w:r w:rsidR="00B21BB7">
              <w:t xml:space="preserve"> </w:t>
            </w:r>
            <w:r>
              <w:t xml:space="preserve">TWC to deposit </w:t>
            </w:r>
            <w:r w:rsidRPr="0013637C">
              <w:t>35 percent of any</w:t>
            </w:r>
            <w:r w:rsidR="00DF3559">
              <w:t xml:space="preserve"> such</w:t>
            </w:r>
            <w:r w:rsidRPr="0013637C">
              <w:t xml:space="preserve"> </w:t>
            </w:r>
            <w:r>
              <w:t xml:space="preserve">assessed </w:t>
            </w:r>
            <w:r w:rsidRPr="0013637C">
              <w:t xml:space="preserve">penalty </w:t>
            </w:r>
            <w:r>
              <w:t xml:space="preserve">in </w:t>
            </w:r>
            <w:r w:rsidR="00487B98">
              <w:t>t</w:t>
            </w:r>
            <w:r w:rsidR="00487B98" w:rsidRPr="00487B98">
              <w:t xml:space="preserve">he </w:t>
            </w:r>
            <w:r>
              <w:t xml:space="preserve">unemployment compensation </w:t>
            </w:r>
            <w:r w:rsidR="00487B98" w:rsidRPr="00487B98">
              <w:t>special administration fund</w:t>
            </w:r>
            <w:r w:rsidR="009527BB">
              <w:t xml:space="preserve"> and a change to the amount of such penalties required to be deposited </w:t>
            </w:r>
            <w:r w:rsidR="009527BB" w:rsidRPr="00487B98">
              <w:t>in the unemployment compensation fund</w:t>
            </w:r>
            <w:r w:rsidR="009527BB">
              <w:t xml:space="preserve"> from any such assessed penalty to 15 percent of such an assessed penalty</w:t>
            </w:r>
            <w:r>
              <w:t>;</w:t>
            </w:r>
            <w:r w:rsidR="009527BB">
              <w:t xml:space="preserve"> and</w:t>
            </w:r>
          </w:p>
          <w:p w14:paraId="5D2CCDE2" w14:textId="43A396F6" w:rsidR="00B21BB7" w:rsidRDefault="00E94D3D" w:rsidP="00EF55A3">
            <w:pPr>
              <w:pStyle w:val="ListParagraph"/>
              <w:numPr>
                <w:ilvl w:val="0"/>
                <w:numId w:val="2"/>
              </w:numPr>
              <w:contextualSpacing w:val="0"/>
              <w:jc w:val="both"/>
            </w:pPr>
            <w:r>
              <w:t xml:space="preserve">a </w:t>
            </w:r>
            <w:r w:rsidR="00A91E00">
              <w:t xml:space="preserve">provision expanding the purposes for which that administration fund may </w:t>
            </w:r>
            <w:r w:rsidR="00400C71">
              <w:t xml:space="preserve">be used </w:t>
            </w:r>
            <w:r w:rsidR="00DF3559">
              <w:t>by including</w:t>
            </w:r>
            <w:r w:rsidR="00DF3559" w:rsidRPr="00DF3559">
              <w:t xml:space="preserve"> cover</w:t>
            </w:r>
            <w:r w:rsidR="00DF3559">
              <w:t>ing</w:t>
            </w:r>
            <w:r w:rsidR="00DF3559" w:rsidRPr="00DF3559">
              <w:t xml:space="preserve"> expenditures related to fraud prevention and investigation, misclassification, as well as the collection of </w:t>
            </w:r>
            <w:r w:rsidR="00C61C4C">
              <w:t xml:space="preserve">certain </w:t>
            </w:r>
            <w:r w:rsidR="00DF3559" w:rsidRPr="00DF3559">
              <w:t>benefits</w:t>
            </w:r>
            <w:r w:rsidR="009527BB">
              <w:t>.</w:t>
            </w:r>
          </w:p>
          <w:p w14:paraId="3064606B" w14:textId="77777777" w:rsidR="000F394C" w:rsidRDefault="000F394C" w:rsidP="00EF55A3">
            <w:pPr>
              <w:jc w:val="both"/>
            </w:pPr>
          </w:p>
          <w:p w14:paraId="5BD5D808" w14:textId="4FA6B37A" w:rsidR="004E6338" w:rsidRDefault="00E94D3D" w:rsidP="00EF55A3">
            <w:pPr>
              <w:jc w:val="both"/>
            </w:pPr>
            <w:r>
              <w:t xml:space="preserve">While both the introduced and the substitute </w:t>
            </w:r>
            <w:r w:rsidR="00333845">
              <w:t xml:space="preserve">require an individual, to be eligible </w:t>
            </w:r>
            <w:r w:rsidR="00070C33" w:rsidRPr="002B5205">
              <w:t>for unemployment benefits</w:t>
            </w:r>
            <w:r w:rsidR="00333845">
              <w:t>,</w:t>
            </w:r>
            <w:r w:rsidR="00070C33" w:rsidRPr="002B5205">
              <w:t xml:space="preserve"> </w:t>
            </w:r>
            <w:r w:rsidR="00333845">
              <w:t>to have</w:t>
            </w:r>
            <w:r w:rsidR="00070C33" w:rsidRPr="002B5205">
              <w:t xml:space="preserve"> satisfied any outstanding obligation in relation to benefits forfeited by the individual</w:t>
            </w:r>
            <w:r w:rsidR="00D90170">
              <w:t xml:space="preserve">, the substitute </w:t>
            </w:r>
            <w:r w:rsidR="00333845">
              <w:t xml:space="preserve">makes </w:t>
            </w:r>
            <w:r w:rsidR="00D90170">
              <w:t xml:space="preserve">the eligibility </w:t>
            </w:r>
            <w:r w:rsidR="00333845">
              <w:t>requirement applicable</w:t>
            </w:r>
            <w:r w:rsidR="00070C33" w:rsidRPr="002B5205">
              <w:t xml:space="preserve"> only if the benefit period for which the individual is seeking benefits is not in the same benefit year in which the nondisclosure or misrepresentation of a material fact occurred</w:t>
            </w:r>
            <w:r w:rsidR="00D90170">
              <w:t>, whereas the introduced did not</w:t>
            </w:r>
            <w:r w:rsidR="00333845">
              <w:t xml:space="preserve"> include that applicability condition</w:t>
            </w:r>
            <w:r w:rsidR="00070C33" w:rsidRPr="002B5205">
              <w:t>.</w:t>
            </w:r>
            <w:r w:rsidR="00070C33">
              <w:t xml:space="preserve"> </w:t>
            </w:r>
          </w:p>
          <w:p w14:paraId="0A23804E" w14:textId="77777777" w:rsidR="00D90170" w:rsidRDefault="00D90170" w:rsidP="00EF55A3">
            <w:pPr>
              <w:jc w:val="both"/>
            </w:pPr>
          </w:p>
          <w:p w14:paraId="11E02BDC" w14:textId="0DBACE42" w:rsidR="00D90170" w:rsidRPr="004E6338" w:rsidRDefault="00E94D3D" w:rsidP="00EF55A3">
            <w:pPr>
              <w:jc w:val="both"/>
            </w:pPr>
            <w:r>
              <w:t xml:space="preserve">The substitute changes the bill's effective date from January 1, 2024, as in the introduced, to September 1, </w:t>
            </w:r>
            <w:r>
              <w:t>2023.</w:t>
            </w:r>
          </w:p>
        </w:tc>
      </w:tr>
      <w:tr w:rsidR="00FC4FD5" w14:paraId="396B4AD0" w14:textId="77777777" w:rsidTr="00345119">
        <w:tc>
          <w:tcPr>
            <w:tcW w:w="9576" w:type="dxa"/>
          </w:tcPr>
          <w:p w14:paraId="5E352F7A" w14:textId="77777777" w:rsidR="002E2D8E" w:rsidRPr="009C1E9A" w:rsidRDefault="002E2D8E" w:rsidP="00EF55A3">
            <w:pPr>
              <w:rPr>
                <w:b/>
                <w:u w:val="single"/>
              </w:rPr>
            </w:pPr>
          </w:p>
        </w:tc>
      </w:tr>
      <w:tr w:rsidR="00FC4FD5" w14:paraId="05551979" w14:textId="77777777" w:rsidTr="00345119">
        <w:tc>
          <w:tcPr>
            <w:tcW w:w="9576" w:type="dxa"/>
          </w:tcPr>
          <w:p w14:paraId="6421F230" w14:textId="77777777" w:rsidR="002E2D8E" w:rsidRPr="002E2D8E" w:rsidRDefault="002E2D8E" w:rsidP="00EF55A3">
            <w:pPr>
              <w:jc w:val="both"/>
            </w:pPr>
          </w:p>
        </w:tc>
      </w:tr>
    </w:tbl>
    <w:p w14:paraId="2CBED800" w14:textId="77777777" w:rsidR="008423E4" w:rsidRPr="00BE0E75" w:rsidRDefault="008423E4" w:rsidP="00EF55A3">
      <w:pPr>
        <w:jc w:val="both"/>
        <w:rPr>
          <w:rFonts w:ascii="Arial" w:hAnsi="Arial"/>
          <w:sz w:val="16"/>
          <w:szCs w:val="16"/>
        </w:rPr>
      </w:pPr>
    </w:p>
    <w:p w14:paraId="307155D0" w14:textId="77777777" w:rsidR="004108C3" w:rsidRPr="008423E4" w:rsidRDefault="004108C3" w:rsidP="00EF55A3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BABB8" w14:textId="77777777" w:rsidR="00000000" w:rsidRDefault="00E94D3D">
      <w:r>
        <w:separator/>
      </w:r>
    </w:p>
  </w:endnote>
  <w:endnote w:type="continuationSeparator" w:id="0">
    <w:p w14:paraId="1E568479" w14:textId="77777777" w:rsidR="00000000" w:rsidRDefault="00E94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E0548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FC4FD5" w14:paraId="6B1B52F0" w14:textId="77777777" w:rsidTr="009C1E9A">
      <w:trPr>
        <w:cantSplit/>
      </w:trPr>
      <w:tc>
        <w:tcPr>
          <w:tcW w:w="0" w:type="pct"/>
        </w:tcPr>
        <w:p w14:paraId="06C352E5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0E4FC84D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25C3F2CA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6945E76D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39CC3BB5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FC4FD5" w14:paraId="2A7D230B" w14:textId="77777777" w:rsidTr="009C1E9A">
      <w:trPr>
        <w:cantSplit/>
      </w:trPr>
      <w:tc>
        <w:tcPr>
          <w:tcW w:w="0" w:type="pct"/>
        </w:tcPr>
        <w:p w14:paraId="1249A645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2E7C59E4" w14:textId="77777777" w:rsidR="00EC379B" w:rsidRPr="009C1E9A" w:rsidRDefault="00E94D3D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25730-D</w:t>
          </w:r>
        </w:p>
      </w:tc>
      <w:tc>
        <w:tcPr>
          <w:tcW w:w="2453" w:type="pct"/>
        </w:tcPr>
        <w:p w14:paraId="73915BD6" w14:textId="3110C2FE" w:rsidR="00EC379B" w:rsidRDefault="00E94D3D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BD75C5">
            <w:t>23.114.2540</w:t>
          </w:r>
          <w:r>
            <w:fldChar w:fldCharType="end"/>
          </w:r>
        </w:p>
      </w:tc>
    </w:tr>
    <w:tr w:rsidR="00FC4FD5" w14:paraId="5FB435A9" w14:textId="77777777" w:rsidTr="009C1E9A">
      <w:trPr>
        <w:cantSplit/>
      </w:trPr>
      <w:tc>
        <w:tcPr>
          <w:tcW w:w="0" w:type="pct"/>
        </w:tcPr>
        <w:p w14:paraId="1DB6320B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71AA89B0" w14:textId="77777777" w:rsidR="00EC379B" w:rsidRPr="009C1E9A" w:rsidRDefault="00E94D3D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88R 23780</w:t>
          </w:r>
        </w:p>
      </w:tc>
      <w:tc>
        <w:tcPr>
          <w:tcW w:w="2453" w:type="pct"/>
        </w:tcPr>
        <w:p w14:paraId="36711FE5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2CE170E1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FC4FD5" w14:paraId="7884533F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1F7B9101" w14:textId="77777777" w:rsidR="00EC379B" w:rsidRDefault="00E94D3D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62768976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077AA0DC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E28A6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C29CD" w14:textId="77777777" w:rsidR="00000000" w:rsidRDefault="00E94D3D">
      <w:r>
        <w:separator/>
      </w:r>
    </w:p>
  </w:footnote>
  <w:footnote w:type="continuationSeparator" w:id="0">
    <w:p w14:paraId="1FBCC372" w14:textId="77777777" w:rsidR="00000000" w:rsidRDefault="00E94D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C4617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AD35A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65725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151B5"/>
    <w:multiLevelType w:val="hybridMultilevel"/>
    <w:tmpl w:val="95625E76"/>
    <w:lvl w:ilvl="0" w:tplc="D37CDD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EA90B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DC6A1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A082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F0335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289C0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2EC1C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34B7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8D63F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3C437D"/>
    <w:multiLevelType w:val="hybridMultilevel"/>
    <w:tmpl w:val="8A3CADAC"/>
    <w:lvl w:ilvl="0" w:tplc="2C52D4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C30228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5C6CF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365D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8C80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08E0E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782C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E223A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981E4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630621"/>
    <w:multiLevelType w:val="hybridMultilevel"/>
    <w:tmpl w:val="95F43754"/>
    <w:lvl w:ilvl="0" w:tplc="471A2B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99ECE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E2060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2A757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CC30F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4A0D2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B47C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9A437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956ED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1792363">
    <w:abstractNumId w:val="0"/>
  </w:num>
  <w:num w:numId="2" w16cid:durableId="86193827">
    <w:abstractNumId w:val="1"/>
  </w:num>
  <w:num w:numId="3" w16cid:durableId="17337730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D8E"/>
    <w:rsid w:val="00000A70"/>
    <w:rsid w:val="000032B8"/>
    <w:rsid w:val="00003B06"/>
    <w:rsid w:val="000054B9"/>
    <w:rsid w:val="00007461"/>
    <w:rsid w:val="0001117E"/>
    <w:rsid w:val="0001125F"/>
    <w:rsid w:val="000124AA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0C33"/>
    <w:rsid w:val="00073914"/>
    <w:rsid w:val="00074236"/>
    <w:rsid w:val="000746BD"/>
    <w:rsid w:val="00076D7D"/>
    <w:rsid w:val="00080D95"/>
    <w:rsid w:val="00082364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3FF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94C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637C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934"/>
    <w:rsid w:val="00217C49"/>
    <w:rsid w:val="0022044E"/>
    <w:rsid w:val="0022177D"/>
    <w:rsid w:val="002242DA"/>
    <w:rsid w:val="00224C37"/>
    <w:rsid w:val="00227FD1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205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2D8E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84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A1AE8"/>
    <w:rsid w:val="003B0EB8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116"/>
    <w:rsid w:val="003F286A"/>
    <w:rsid w:val="003F77F8"/>
    <w:rsid w:val="00400ACD"/>
    <w:rsid w:val="00400C71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3FD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87B98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0653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338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5A5C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57D2E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64FF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5F50"/>
    <w:rsid w:val="006B7A2E"/>
    <w:rsid w:val="006C00B6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A7D92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E5FF4"/>
    <w:rsid w:val="008F09DF"/>
    <w:rsid w:val="008F3053"/>
    <w:rsid w:val="008F3136"/>
    <w:rsid w:val="008F40DF"/>
    <w:rsid w:val="008F5E16"/>
    <w:rsid w:val="008F5EFC"/>
    <w:rsid w:val="00901670"/>
    <w:rsid w:val="00901A94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27BB"/>
    <w:rsid w:val="00953499"/>
    <w:rsid w:val="00954A16"/>
    <w:rsid w:val="0095696D"/>
    <w:rsid w:val="00960F2D"/>
    <w:rsid w:val="0096482F"/>
    <w:rsid w:val="00964E3A"/>
    <w:rsid w:val="00967126"/>
    <w:rsid w:val="0097032F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1613D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235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1E00"/>
    <w:rsid w:val="00A932BB"/>
    <w:rsid w:val="00A93579"/>
    <w:rsid w:val="00A93934"/>
    <w:rsid w:val="00A943D6"/>
    <w:rsid w:val="00A95D51"/>
    <w:rsid w:val="00AA18AE"/>
    <w:rsid w:val="00AA228B"/>
    <w:rsid w:val="00AA597A"/>
    <w:rsid w:val="00AA66AD"/>
    <w:rsid w:val="00AA67A3"/>
    <w:rsid w:val="00AA7E52"/>
    <w:rsid w:val="00AB071A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2CD7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1BB7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D75C5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25BB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4C"/>
    <w:rsid w:val="00C61C64"/>
    <w:rsid w:val="00C61CDA"/>
    <w:rsid w:val="00C642FD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0B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6043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66CE4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0170"/>
    <w:rsid w:val="00D91B92"/>
    <w:rsid w:val="00D926B3"/>
    <w:rsid w:val="00D92F63"/>
    <w:rsid w:val="00D947B6"/>
    <w:rsid w:val="00D94A53"/>
    <w:rsid w:val="00D97E00"/>
    <w:rsid w:val="00DA00BC"/>
    <w:rsid w:val="00DA0E22"/>
    <w:rsid w:val="00DA1395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3559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4D3D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280"/>
    <w:rsid w:val="00ED783A"/>
    <w:rsid w:val="00EE127E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5A3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0469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30DA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0A29"/>
    <w:rsid w:val="00FB16CD"/>
    <w:rsid w:val="00FB73AE"/>
    <w:rsid w:val="00FC4FD5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6F7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25FE49D-BA5E-40D3-8CAD-847DF114C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4E633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E633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E6338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E63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E6338"/>
    <w:rPr>
      <w:b/>
      <w:bCs/>
    </w:rPr>
  </w:style>
  <w:style w:type="paragraph" w:styleId="ListParagraph">
    <w:name w:val="List Paragraph"/>
    <w:basedOn w:val="Normal"/>
    <w:uiPriority w:val="34"/>
    <w:qFormat/>
    <w:rsid w:val="00487B98"/>
    <w:pPr>
      <w:ind w:left="720"/>
      <w:contextualSpacing/>
    </w:pPr>
  </w:style>
  <w:style w:type="paragraph" w:styleId="Revision">
    <w:name w:val="Revision"/>
    <w:hidden/>
    <w:uiPriority w:val="99"/>
    <w:semiHidden/>
    <w:rsid w:val="003B0EB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742</Words>
  <Characters>4189</Characters>
  <Application>Microsoft Office Word</Application>
  <DocSecurity>4</DocSecurity>
  <Lines>96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HB02458 (Committee Report (Substituted))</vt:lpstr>
    </vt:vector>
  </TitlesOfParts>
  <Company>State of Texas</Company>
  <LinksUpToDate>false</LinksUpToDate>
  <CharactersWithSpaces>4918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25730</dc:subject>
  <dc:creator>State of Texas</dc:creator>
  <dc:description>HB 2458 by Vo-(H)Business &amp; Industry (Substitute Document Number: 88R 23780)</dc:description>
  <cp:lastModifiedBy>Stacey Nicchio</cp:lastModifiedBy>
  <cp:revision>2</cp:revision>
  <cp:lastPrinted>2003-11-26T17:21:00Z</cp:lastPrinted>
  <dcterms:created xsi:type="dcterms:W3CDTF">2023-05-02T20:59:00Z</dcterms:created>
  <dcterms:modified xsi:type="dcterms:W3CDTF">2023-05-02T20:59:00Z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23.114.2540</vt:lpwstr>
  </property>
</Properties>
</file>