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505DA" w14:paraId="0A46BEB6" w14:textId="77777777" w:rsidTr="00345119">
        <w:tc>
          <w:tcPr>
            <w:tcW w:w="9576" w:type="dxa"/>
            <w:noWrap/>
          </w:tcPr>
          <w:p w14:paraId="1D60165D" w14:textId="77777777" w:rsidR="008423E4" w:rsidRPr="0022177D" w:rsidRDefault="003C4645" w:rsidP="00B509B4">
            <w:pPr>
              <w:pStyle w:val="Heading1"/>
            </w:pPr>
            <w:r w:rsidRPr="00631897">
              <w:t>BILL ANALYSIS</w:t>
            </w:r>
          </w:p>
        </w:tc>
      </w:tr>
    </w:tbl>
    <w:p w14:paraId="570F062F" w14:textId="77777777" w:rsidR="008423E4" w:rsidRPr="0022177D" w:rsidRDefault="008423E4" w:rsidP="00B509B4">
      <w:pPr>
        <w:jc w:val="center"/>
      </w:pPr>
    </w:p>
    <w:p w14:paraId="766D3082" w14:textId="77777777" w:rsidR="008423E4" w:rsidRPr="00B31F0E" w:rsidRDefault="008423E4" w:rsidP="00B509B4"/>
    <w:p w14:paraId="55EAD998" w14:textId="77777777" w:rsidR="008423E4" w:rsidRPr="00742794" w:rsidRDefault="008423E4" w:rsidP="00B509B4">
      <w:pPr>
        <w:tabs>
          <w:tab w:val="right" w:pos="9360"/>
        </w:tabs>
      </w:pPr>
    </w:p>
    <w:tbl>
      <w:tblPr>
        <w:tblW w:w="0" w:type="auto"/>
        <w:tblLayout w:type="fixed"/>
        <w:tblLook w:val="01E0" w:firstRow="1" w:lastRow="1" w:firstColumn="1" w:lastColumn="1" w:noHBand="0" w:noVBand="0"/>
      </w:tblPr>
      <w:tblGrid>
        <w:gridCol w:w="9576"/>
      </w:tblGrid>
      <w:tr w:rsidR="001505DA" w14:paraId="02B60A23" w14:textId="77777777" w:rsidTr="00345119">
        <w:tc>
          <w:tcPr>
            <w:tcW w:w="9576" w:type="dxa"/>
          </w:tcPr>
          <w:p w14:paraId="2DAA8B7D" w14:textId="760C77F0" w:rsidR="008423E4" w:rsidRPr="00861995" w:rsidRDefault="003C4645" w:rsidP="00B509B4">
            <w:pPr>
              <w:jc w:val="right"/>
            </w:pPr>
            <w:r>
              <w:t>C.S.H.B. 2488</w:t>
            </w:r>
          </w:p>
        </w:tc>
      </w:tr>
      <w:tr w:rsidR="001505DA" w14:paraId="185BDBE4" w14:textId="77777777" w:rsidTr="00345119">
        <w:tc>
          <w:tcPr>
            <w:tcW w:w="9576" w:type="dxa"/>
          </w:tcPr>
          <w:p w14:paraId="1CAF9E62" w14:textId="0F648C96" w:rsidR="008423E4" w:rsidRPr="00861995" w:rsidRDefault="003C4645" w:rsidP="00B509B4">
            <w:pPr>
              <w:jc w:val="right"/>
            </w:pPr>
            <w:r>
              <w:t xml:space="preserve">By: </w:t>
            </w:r>
            <w:r w:rsidR="00880B80">
              <w:t>Geren</w:t>
            </w:r>
          </w:p>
        </w:tc>
      </w:tr>
      <w:tr w:rsidR="001505DA" w14:paraId="45C17C6E" w14:textId="77777777" w:rsidTr="00345119">
        <w:tc>
          <w:tcPr>
            <w:tcW w:w="9576" w:type="dxa"/>
          </w:tcPr>
          <w:p w14:paraId="170F6C7C" w14:textId="411C501A" w:rsidR="008423E4" w:rsidRPr="00861995" w:rsidRDefault="003C4645" w:rsidP="00B509B4">
            <w:pPr>
              <w:jc w:val="right"/>
            </w:pPr>
            <w:r>
              <w:t>Ways &amp; Means</w:t>
            </w:r>
          </w:p>
        </w:tc>
      </w:tr>
      <w:tr w:rsidR="001505DA" w14:paraId="71E1DBE4" w14:textId="77777777" w:rsidTr="00345119">
        <w:tc>
          <w:tcPr>
            <w:tcW w:w="9576" w:type="dxa"/>
          </w:tcPr>
          <w:p w14:paraId="2ACF6852" w14:textId="313FF67B" w:rsidR="008423E4" w:rsidRDefault="003C4645" w:rsidP="00B509B4">
            <w:pPr>
              <w:jc w:val="right"/>
            </w:pPr>
            <w:r>
              <w:t>Committee Report (Substituted)</w:t>
            </w:r>
          </w:p>
        </w:tc>
      </w:tr>
    </w:tbl>
    <w:p w14:paraId="00BDAC53" w14:textId="77777777" w:rsidR="008423E4" w:rsidRDefault="008423E4" w:rsidP="00B509B4">
      <w:pPr>
        <w:tabs>
          <w:tab w:val="right" w:pos="9360"/>
        </w:tabs>
      </w:pPr>
    </w:p>
    <w:p w14:paraId="07888E40" w14:textId="77777777" w:rsidR="008423E4" w:rsidRDefault="008423E4" w:rsidP="00B509B4"/>
    <w:p w14:paraId="1CC5D32B" w14:textId="77777777" w:rsidR="008423E4" w:rsidRDefault="008423E4" w:rsidP="00B509B4"/>
    <w:tbl>
      <w:tblPr>
        <w:tblW w:w="0" w:type="auto"/>
        <w:tblCellMar>
          <w:left w:w="115" w:type="dxa"/>
          <w:right w:w="115" w:type="dxa"/>
        </w:tblCellMar>
        <w:tblLook w:val="01E0" w:firstRow="1" w:lastRow="1" w:firstColumn="1" w:lastColumn="1" w:noHBand="0" w:noVBand="0"/>
      </w:tblPr>
      <w:tblGrid>
        <w:gridCol w:w="9360"/>
      </w:tblGrid>
      <w:tr w:rsidR="001505DA" w14:paraId="4A48A338" w14:textId="77777777" w:rsidTr="00E3617A">
        <w:tc>
          <w:tcPr>
            <w:tcW w:w="9360" w:type="dxa"/>
          </w:tcPr>
          <w:p w14:paraId="6C42D426" w14:textId="77777777" w:rsidR="008423E4" w:rsidRPr="00A8133F" w:rsidRDefault="003C4645" w:rsidP="00B509B4">
            <w:pPr>
              <w:rPr>
                <w:b/>
              </w:rPr>
            </w:pPr>
            <w:r w:rsidRPr="009C1E9A">
              <w:rPr>
                <w:b/>
                <w:u w:val="single"/>
              </w:rPr>
              <w:t>BACKGROUND AND PURPOSE</w:t>
            </w:r>
            <w:r>
              <w:rPr>
                <w:b/>
              </w:rPr>
              <w:t xml:space="preserve"> </w:t>
            </w:r>
          </w:p>
          <w:p w14:paraId="5AD1AEDA" w14:textId="77777777" w:rsidR="008423E4" w:rsidRDefault="008423E4" w:rsidP="00B509B4"/>
          <w:p w14:paraId="37AC664D" w14:textId="1B620459" w:rsidR="00A44ECE" w:rsidRDefault="003C4645" w:rsidP="00B509B4">
            <w:pPr>
              <w:pStyle w:val="Header"/>
              <w:tabs>
                <w:tab w:val="clear" w:pos="4320"/>
                <w:tab w:val="clear" w:pos="8640"/>
              </w:tabs>
              <w:jc w:val="both"/>
            </w:pPr>
            <w:r>
              <w:t xml:space="preserve">In 2009, the legislature passed </w:t>
            </w:r>
            <w:r w:rsidR="00CD48A1">
              <w:t>S</w:t>
            </w:r>
            <w:r w:rsidR="00B04913">
              <w:t>.B. 771</w:t>
            </w:r>
            <w:r w:rsidR="00A0106D" w:rsidRPr="00A0106D">
              <w:t xml:space="preserve"> </w:t>
            </w:r>
            <w:r>
              <w:t>in response</w:t>
            </w:r>
            <w:r w:rsidR="00A0106D" w:rsidRPr="00A0106D">
              <w:t xml:space="preserve"> to taxpayer complaints </w:t>
            </w:r>
            <w:r>
              <w:t>that</w:t>
            </w:r>
            <w:r w:rsidRPr="00A0106D">
              <w:t xml:space="preserve"> </w:t>
            </w:r>
            <w:r w:rsidR="00A0106D" w:rsidRPr="00A0106D">
              <w:t xml:space="preserve">appraised </w:t>
            </w:r>
            <w:r w:rsidR="00B04913">
              <w:t xml:space="preserve">property </w:t>
            </w:r>
            <w:r w:rsidR="00A0106D" w:rsidRPr="00A0106D">
              <w:t xml:space="preserve">values were increased despite being lowered in a protest or appeal in the prior year. As evidenced in the </w:t>
            </w:r>
            <w:r w:rsidR="00B04913">
              <w:t>b</w:t>
            </w:r>
            <w:r w:rsidR="00A0106D" w:rsidRPr="00A0106D">
              <w:t xml:space="preserve">ill </w:t>
            </w:r>
            <w:r w:rsidR="00B04913">
              <w:t>a</w:t>
            </w:r>
            <w:r w:rsidR="00A0106D" w:rsidRPr="00A0106D">
              <w:t xml:space="preserve">nalysis for </w:t>
            </w:r>
            <w:r w:rsidR="00B04913">
              <w:t xml:space="preserve">this </w:t>
            </w:r>
            <w:r w:rsidR="00662C2C">
              <w:t>legislation</w:t>
            </w:r>
            <w:r w:rsidR="00A0106D" w:rsidRPr="00A0106D">
              <w:t xml:space="preserve">, it </w:t>
            </w:r>
            <w:r w:rsidR="00B04913">
              <w:t>was the</w:t>
            </w:r>
            <w:r w:rsidR="00B04913" w:rsidRPr="00A0106D">
              <w:t xml:space="preserve"> </w:t>
            </w:r>
            <w:r w:rsidR="00A0106D" w:rsidRPr="00A0106D">
              <w:t xml:space="preserve">clear the intent of the bill </w:t>
            </w:r>
            <w:r w:rsidR="005D75FF">
              <w:t xml:space="preserve">was </w:t>
            </w:r>
            <w:r w:rsidR="00A0106D" w:rsidRPr="00A0106D">
              <w:t xml:space="preserve">to address the burden of proof an appraisal district must carry at the </w:t>
            </w:r>
            <w:r w:rsidR="00B04913">
              <w:t xml:space="preserve">appraisal review board </w:t>
            </w:r>
            <w:r w:rsidR="00A0106D" w:rsidRPr="00A0106D">
              <w:t>through appeals at the district court</w:t>
            </w:r>
            <w:r w:rsidR="00B04913">
              <w:t>.</w:t>
            </w:r>
            <w:r w:rsidR="00A0106D" w:rsidRPr="00A0106D">
              <w:t xml:space="preserve"> </w:t>
            </w:r>
            <w:r w:rsidR="00B04913">
              <w:t xml:space="preserve">The </w:t>
            </w:r>
            <w:r w:rsidR="00CD48A1">
              <w:t xml:space="preserve">background and purpose portion of </w:t>
            </w:r>
            <w:r w:rsidR="005D75FF">
              <w:t xml:space="preserve">the </w:t>
            </w:r>
            <w:r w:rsidR="00B04913">
              <w:t>analysis read in part:</w:t>
            </w:r>
          </w:p>
          <w:p w14:paraId="1D52387D" w14:textId="7800CDF5" w:rsidR="00A44ECE" w:rsidRDefault="003C4645" w:rsidP="00B509B4">
            <w:pPr>
              <w:pStyle w:val="Header"/>
              <w:tabs>
                <w:tab w:val="clear" w:pos="4320"/>
                <w:tab w:val="clear" w:pos="8640"/>
              </w:tabs>
              <w:ind w:left="720" w:right="720"/>
              <w:jc w:val="both"/>
            </w:pPr>
            <w:r w:rsidRPr="00A0106D">
              <w:t>Currently, appraisal districts do not have a standard for setting values on properties following a year in which the property</w:t>
            </w:r>
            <w:r w:rsidR="00AF7B36">
              <w:t>'</w:t>
            </w:r>
            <w:r w:rsidRPr="00A0106D">
              <w:t xml:space="preserve">s </w:t>
            </w:r>
            <w:r w:rsidRPr="00A0106D">
              <w:t>market value was determined to be lower than the initial value through the protest process. Even though a lower value was achieved through protest, in the subsequent year, a property owner often receives an initial value that is the same or higher than the</w:t>
            </w:r>
            <w:r w:rsidRPr="00A0106D">
              <w:t xml:space="preserve"> initial valuation that was the subject of the preceding year</w:t>
            </w:r>
            <w:r w:rsidR="00A67526">
              <w:t>'</w:t>
            </w:r>
            <w:r w:rsidRPr="00A0106D">
              <w:t>s protest, even if there has been little or no change to the property since the previous year</w:t>
            </w:r>
            <w:r w:rsidR="00A67526">
              <w:t>'</w:t>
            </w:r>
            <w:r w:rsidRPr="00A0106D">
              <w:t xml:space="preserve">s value had been finally established. As a result, property owners are forced to protest the </w:t>
            </w:r>
            <w:r w:rsidRPr="00A0106D">
              <w:t>value, often resulting in litigation, and each year having to present the same issues as presented the previous year with substantially the same outcome.</w:t>
            </w:r>
          </w:p>
          <w:p w14:paraId="76A5D63A" w14:textId="77777777" w:rsidR="00B04913" w:rsidRDefault="00B04913" w:rsidP="00B509B4">
            <w:pPr>
              <w:pStyle w:val="Header"/>
              <w:tabs>
                <w:tab w:val="clear" w:pos="4320"/>
                <w:tab w:val="clear" w:pos="8640"/>
              </w:tabs>
              <w:jc w:val="both"/>
            </w:pPr>
          </w:p>
          <w:p w14:paraId="37EAFEAD" w14:textId="44666C29" w:rsidR="00947B56" w:rsidRDefault="003C4645" w:rsidP="00B509B4">
            <w:pPr>
              <w:pStyle w:val="Header"/>
              <w:tabs>
                <w:tab w:val="clear" w:pos="4320"/>
                <w:tab w:val="clear" w:pos="8640"/>
              </w:tabs>
              <w:jc w:val="both"/>
            </w:pPr>
            <w:r>
              <w:t>A</w:t>
            </w:r>
            <w:r w:rsidR="00B04913">
              <w:t>ddressing this issue</w:t>
            </w:r>
            <w:r>
              <w:t xml:space="preserve"> further</w:t>
            </w:r>
            <w:r w:rsidR="00A0106D" w:rsidRPr="00A0106D">
              <w:t xml:space="preserve">, </w:t>
            </w:r>
            <w:r w:rsidR="00B04913">
              <w:t xml:space="preserve">the legislature enacted </w:t>
            </w:r>
            <w:r w:rsidR="00A0106D">
              <w:t>H.B.</w:t>
            </w:r>
            <w:r w:rsidR="004E3DED">
              <w:t> </w:t>
            </w:r>
            <w:r w:rsidR="00A0106D" w:rsidRPr="00A0106D">
              <w:t>1313 in 2019</w:t>
            </w:r>
            <w:r w:rsidR="00A0106D">
              <w:t>,</w:t>
            </w:r>
            <w:r w:rsidR="00A0106D" w:rsidRPr="00A0106D">
              <w:t xml:space="preserve"> </w:t>
            </w:r>
            <w:r w:rsidR="00B04913">
              <w:t xml:space="preserve">which </w:t>
            </w:r>
            <w:r w:rsidR="00A0106D" w:rsidRPr="00A0106D">
              <w:t xml:space="preserve">changed </w:t>
            </w:r>
            <w:r w:rsidR="00B04913">
              <w:t>the requisite evidentiary standard</w:t>
            </w:r>
            <w:r w:rsidR="00A0106D" w:rsidRPr="00A0106D">
              <w:t xml:space="preserve"> to support an increase in value from substantial evidence to clear and convincing evidence. This was in response to appraisal districts again raising appraised values without providing sufficient evidence justifying the increase. The </w:t>
            </w:r>
            <w:r w:rsidR="00A0106D">
              <w:t>l</w:t>
            </w:r>
            <w:r w:rsidR="00A0106D" w:rsidRPr="00A0106D">
              <w:t xml:space="preserve">egislature intended for an appraisal district to be bound by </w:t>
            </w:r>
            <w:r w:rsidR="00CD48A1">
              <w:t>this standard</w:t>
            </w:r>
            <w:r w:rsidR="00A0106D" w:rsidRPr="00A0106D">
              <w:t xml:space="preserve"> in a</w:t>
            </w:r>
            <w:r w:rsidR="00CD48A1">
              <w:t>n</w:t>
            </w:r>
            <w:r w:rsidR="00A0106D" w:rsidRPr="00A0106D">
              <w:t xml:space="preserve"> appeal</w:t>
            </w:r>
            <w:r w:rsidR="00CD48A1">
              <w:t xml:space="preserve"> of the appraised value of property before a court.</w:t>
            </w:r>
            <w:r w:rsidR="00A0106D" w:rsidRPr="00A0106D">
              <w:t xml:space="preserve"> </w:t>
            </w:r>
            <w:r w:rsidR="00CD48A1">
              <w:t>A</w:t>
            </w:r>
            <w:r w:rsidR="00A0106D" w:rsidRPr="00A0106D">
              <w:t xml:space="preserve">ny other reading </w:t>
            </w:r>
            <w:r w:rsidR="00CD48A1">
              <w:t>would</w:t>
            </w:r>
            <w:r w:rsidR="00CD48A1" w:rsidRPr="00A0106D">
              <w:t xml:space="preserve"> </w:t>
            </w:r>
            <w:r w:rsidR="00A0106D" w:rsidRPr="00A0106D">
              <w:t xml:space="preserve">cause an unjust result and render the statute meaningless. </w:t>
            </w:r>
          </w:p>
          <w:p w14:paraId="4433CB80" w14:textId="77777777" w:rsidR="00947B56" w:rsidRDefault="00947B56" w:rsidP="00B509B4">
            <w:pPr>
              <w:pStyle w:val="Header"/>
              <w:tabs>
                <w:tab w:val="clear" w:pos="4320"/>
                <w:tab w:val="clear" w:pos="8640"/>
              </w:tabs>
              <w:jc w:val="both"/>
            </w:pPr>
          </w:p>
          <w:p w14:paraId="392DB8CA" w14:textId="1F8F0201" w:rsidR="008423E4" w:rsidRDefault="003C4645" w:rsidP="00B509B4">
            <w:pPr>
              <w:pStyle w:val="Header"/>
              <w:tabs>
                <w:tab w:val="clear" w:pos="4320"/>
                <w:tab w:val="clear" w:pos="8640"/>
              </w:tabs>
              <w:jc w:val="both"/>
            </w:pPr>
            <w:r w:rsidRPr="009F5988">
              <w:t>Recent</w:t>
            </w:r>
            <w:r>
              <w:t xml:space="preserve"> </w:t>
            </w:r>
            <w:r w:rsidRPr="009F5988">
              <w:t>court rulings have calle</w:t>
            </w:r>
            <w:r w:rsidRPr="009F5988">
              <w:t xml:space="preserve">d into question whether the </w:t>
            </w:r>
            <w:r w:rsidR="00293BA7">
              <w:t>"</w:t>
            </w:r>
            <w:r w:rsidRPr="009F5988">
              <w:t>clear and convincing</w:t>
            </w:r>
            <w:r w:rsidR="00293BA7">
              <w:t>"</w:t>
            </w:r>
            <w:r w:rsidRPr="009F5988">
              <w:t xml:space="preserve"> evidentiary requirement applies to de novo appeals under the </w:t>
            </w:r>
            <w:r>
              <w:t>Tax C</w:t>
            </w:r>
            <w:r w:rsidRPr="009F5988">
              <w:t xml:space="preserve">ode. One </w:t>
            </w:r>
            <w:r w:rsidR="00A0106D" w:rsidRPr="00A0106D">
              <w:t xml:space="preserve">purpose of </w:t>
            </w:r>
            <w:r w:rsidR="00D2561E">
              <w:t>imposing the clear and convincing standard</w:t>
            </w:r>
            <w:r w:rsidR="00A0106D" w:rsidRPr="00A0106D">
              <w:t xml:space="preserve"> is to prevent repetitious litigation over the same set of facts and issues year over year. </w:t>
            </w:r>
          </w:p>
          <w:p w14:paraId="52427A41" w14:textId="102B4125" w:rsidR="00947B56" w:rsidRDefault="00947B56" w:rsidP="00B509B4">
            <w:pPr>
              <w:pStyle w:val="Header"/>
              <w:tabs>
                <w:tab w:val="clear" w:pos="4320"/>
                <w:tab w:val="clear" w:pos="8640"/>
              </w:tabs>
              <w:jc w:val="both"/>
            </w:pPr>
          </w:p>
          <w:p w14:paraId="666EE415" w14:textId="20370BCC" w:rsidR="00947B56" w:rsidRDefault="003C4645" w:rsidP="00B509B4">
            <w:pPr>
              <w:pStyle w:val="Header"/>
              <w:tabs>
                <w:tab w:val="clear" w:pos="4320"/>
                <w:tab w:val="clear" w:pos="8640"/>
              </w:tabs>
              <w:jc w:val="both"/>
            </w:pPr>
            <w:r>
              <w:t>C.S.H.B. 2488 seeks to again address this issue by clearly</w:t>
            </w:r>
            <w:r w:rsidRPr="00947B56">
              <w:t xml:space="preserve"> establish</w:t>
            </w:r>
            <w:r>
              <w:t>ing</w:t>
            </w:r>
            <w:r w:rsidRPr="00947B56">
              <w:t xml:space="preserve"> </w:t>
            </w:r>
            <w:r w:rsidR="009F5988">
              <w:t xml:space="preserve">that </w:t>
            </w:r>
            <w:r w:rsidR="009F5988" w:rsidRPr="009F5988">
              <w:t xml:space="preserve">the appraisal district </w:t>
            </w:r>
            <w:r w:rsidR="009F5988">
              <w:t>has</w:t>
            </w:r>
            <w:r w:rsidR="009F5988" w:rsidRPr="009F5988">
              <w:t xml:space="preserve"> the burden of proof in certain trial de novo appeals of property values if the value of the property subject to the appeal was lowered in the preceding year</w:t>
            </w:r>
            <w:r w:rsidR="009F5988">
              <w:t>.</w:t>
            </w:r>
          </w:p>
          <w:p w14:paraId="2A16DDD3" w14:textId="77777777" w:rsidR="008423E4" w:rsidRPr="00E26B13" w:rsidRDefault="008423E4" w:rsidP="00B509B4">
            <w:pPr>
              <w:rPr>
                <w:b/>
              </w:rPr>
            </w:pPr>
          </w:p>
        </w:tc>
      </w:tr>
      <w:tr w:rsidR="001505DA" w14:paraId="51120873" w14:textId="77777777" w:rsidTr="00E3617A">
        <w:tc>
          <w:tcPr>
            <w:tcW w:w="9360" w:type="dxa"/>
          </w:tcPr>
          <w:p w14:paraId="5FAA84B1" w14:textId="77777777" w:rsidR="0017725B" w:rsidRDefault="003C4645" w:rsidP="00B509B4">
            <w:pPr>
              <w:rPr>
                <w:b/>
                <w:u w:val="single"/>
              </w:rPr>
            </w:pPr>
            <w:r>
              <w:rPr>
                <w:b/>
                <w:u w:val="single"/>
              </w:rPr>
              <w:t>CRIMINAL JUSTICE IMPACT</w:t>
            </w:r>
          </w:p>
          <w:p w14:paraId="2BB162FA" w14:textId="77777777" w:rsidR="0017725B" w:rsidRDefault="0017725B" w:rsidP="00B509B4">
            <w:pPr>
              <w:rPr>
                <w:b/>
                <w:u w:val="single"/>
              </w:rPr>
            </w:pPr>
          </w:p>
          <w:p w14:paraId="0B7058AB" w14:textId="77777777" w:rsidR="0017725B" w:rsidRDefault="003C4645" w:rsidP="00B509B4">
            <w:pPr>
              <w:jc w:val="both"/>
            </w:pPr>
            <w:r>
              <w:t>It is the committee</w:t>
            </w:r>
            <w:r w:rsidR="00955DC3">
              <w:t>'</w:t>
            </w:r>
            <w:r>
              <w:t xml:space="preserve">s opinion that this bill does not expressly create a criminal offense, increase the punishment for an existing criminal offense or category of offenses, or change the </w:t>
            </w:r>
            <w:r>
              <w:t>eligibility of a person for community supervision, parole, or mandatory supervision.</w:t>
            </w:r>
          </w:p>
          <w:p w14:paraId="5480177D" w14:textId="5142D19D" w:rsidR="0034191F" w:rsidRPr="0017725B" w:rsidRDefault="0034191F" w:rsidP="00B509B4">
            <w:pPr>
              <w:jc w:val="both"/>
              <w:rPr>
                <w:b/>
                <w:u w:val="single"/>
              </w:rPr>
            </w:pPr>
          </w:p>
        </w:tc>
      </w:tr>
      <w:tr w:rsidR="001505DA" w14:paraId="7BECCB08" w14:textId="77777777" w:rsidTr="00E3617A">
        <w:tc>
          <w:tcPr>
            <w:tcW w:w="9360" w:type="dxa"/>
          </w:tcPr>
          <w:p w14:paraId="3BDB0F26" w14:textId="77777777" w:rsidR="008423E4" w:rsidRPr="00A8133F" w:rsidRDefault="003C4645" w:rsidP="00B509B4">
            <w:pPr>
              <w:rPr>
                <w:b/>
              </w:rPr>
            </w:pPr>
            <w:r w:rsidRPr="009C1E9A">
              <w:rPr>
                <w:b/>
                <w:u w:val="single"/>
              </w:rPr>
              <w:t>RULEMAKING AUTHORITY</w:t>
            </w:r>
            <w:r>
              <w:rPr>
                <w:b/>
              </w:rPr>
              <w:t xml:space="preserve"> </w:t>
            </w:r>
          </w:p>
          <w:p w14:paraId="5DE109CE" w14:textId="77777777" w:rsidR="008423E4" w:rsidRDefault="008423E4" w:rsidP="00B509B4"/>
          <w:p w14:paraId="3C3BA201" w14:textId="77777777" w:rsidR="008423E4" w:rsidRDefault="003C4645" w:rsidP="00B509B4">
            <w:pPr>
              <w:pStyle w:val="Header"/>
              <w:tabs>
                <w:tab w:val="clear" w:pos="4320"/>
                <w:tab w:val="clear" w:pos="8640"/>
              </w:tabs>
              <w:jc w:val="both"/>
            </w:pPr>
            <w:r>
              <w:t>It is the committee</w:t>
            </w:r>
            <w:r w:rsidR="00955DC3">
              <w:t>'</w:t>
            </w:r>
            <w:r>
              <w:t xml:space="preserve">s opinion that this bill does not expressly grant any additional rulemaking authority to a state officer, department, agency, </w:t>
            </w:r>
            <w:r>
              <w:t>or institution.</w:t>
            </w:r>
          </w:p>
          <w:p w14:paraId="0C92EF23" w14:textId="7006496C" w:rsidR="0034191F" w:rsidRPr="00E21FDC" w:rsidRDefault="0034191F" w:rsidP="00B509B4">
            <w:pPr>
              <w:pStyle w:val="Header"/>
              <w:tabs>
                <w:tab w:val="clear" w:pos="4320"/>
                <w:tab w:val="clear" w:pos="8640"/>
              </w:tabs>
              <w:jc w:val="both"/>
              <w:rPr>
                <w:b/>
              </w:rPr>
            </w:pPr>
          </w:p>
        </w:tc>
      </w:tr>
      <w:tr w:rsidR="001505DA" w14:paraId="7FD4E211" w14:textId="77777777" w:rsidTr="00E3617A">
        <w:tc>
          <w:tcPr>
            <w:tcW w:w="9360" w:type="dxa"/>
          </w:tcPr>
          <w:p w14:paraId="4635F063" w14:textId="77777777" w:rsidR="008423E4" w:rsidRPr="00A8133F" w:rsidRDefault="003C4645" w:rsidP="00B509B4">
            <w:pPr>
              <w:rPr>
                <w:b/>
              </w:rPr>
            </w:pPr>
            <w:r w:rsidRPr="009C1E9A">
              <w:rPr>
                <w:b/>
                <w:u w:val="single"/>
              </w:rPr>
              <w:t>ANALYSIS</w:t>
            </w:r>
            <w:r>
              <w:rPr>
                <w:b/>
              </w:rPr>
              <w:t xml:space="preserve"> </w:t>
            </w:r>
          </w:p>
          <w:p w14:paraId="1E53D0D2" w14:textId="77777777" w:rsidR="008423E4" w:rsidRDefault="008423E4" w:rsidP="00B509B4"/>
          <w:p w14:paraId="107ECD60" w14:textId="48496BB5" w:rsidR="009C36CD" w:rsidRPr="009C36CD" w:rsidRDefault="003C4645" w:rsidP="00B509B4">
            <w:pPr>
              <w:pStyle w:val="Header"/>
              <w:tabs>
                <w:tab w:val="clear" w:pos="4320"/>
                <w:tab w:val="clear" w:pos="8640"/>
              </w:tabs>
              <w:jc w:val="both"/>
            </w:pPr>
            <w:r>
              <w:t>C.S.</w:t>
            </w:r>
            <w:r w:rsidR="00514549">
              <w:t xml:space="preserve">H.B. 2488 amends the Tax Code to </w:t>
            </w:r>
            <w:r w:rsidR="00760EA6">
              <w:t>establish that,</w:t>
            </w:r>
            <w:r w:rsidR="00514549">
              <w:t xml:space="preserve"> in a </w:t>
            </w:r>
            <w:r w:rsidR="00514549" w:rsidRPr="001B24D4">
              <w:t xml:space="preserve">trial </w:t>
            </w:r>
            <w:r w:rsidR="000F0C12">
              <w:t xml:space="preserve">for a </w:t>
            </w:r>
            <w:r w:rsidR="00514549" w:rsidRPr="001B24D4">
              <w:t xml:space="preserve">de novo </w:t>
            </w:r>
            <w:r w:rsidR="00330D1B">
              <w:t>appeal</w:t>
            </w:r>
            <w:r w:rsidR="00330D1B" w:rsidRPr="001B24D4">
              <w:t xml:space="preserve"> </w:t>
            </w:r>
            <w:r w:rsidR="00B177D7">
              <w:t>in</w:t>
            </w:r>
            <w:r w:rsidR="00330D1B">
              <w:t xml:space="preserve"> a district court </w:t>
            </w:r>
            <w:r w:rsidR="00B177D7">
              <w:t xml:space="preserve">of an order by an appraisal review board determining a taxpayer protest or of a motion correcting the appraisal roll, involving an increase in appraised value </w:t>
            </w:r>
            <w:r w:rsidR="000F0C12">
              <w:t>where</w:t>
            </w:r>
            <w:r w:rsidR="00CA70F5">
              <w:t xml:space="preserve"> </w:t>
            </w:r>
            <w:r w:rsidR="00514549" w:rsidRPr="001B24D4">
              <w:t xml:space="preserve">the appraised value of </w:t>
            </w:r>
            <w:r w:rsidR="00330D1B">
              <w:t>the</w:t>
            </w:r>
            <w:r w:rsidR="000F0C12">
              <w:t xml:space="preserve"> property </w:t>
            </w:r>
            <w:r w:rsidR="00CA70F5">
              <w:t xml:space="preserve">was lowered the previous tax year as a result of a qualifying taxpayer protest, </w:t>
            </w:r>
            <w:r w:rsidR="00760EA6" w:rsidRPr="007C61BF">
              <w:t xml:space="preserve">the </w:t>
            </w:r>
            <w:r w:rsidR="00F6659F" w:rsidRPr="00F6659F">
              <w:t xml:space="preserve">appraisal district has the </w:t>
            </w:r>
            <w:r w:rsidR="00760EA6" w:rsidRPr="007C61BF">
              <w:t xml:space="preserve">burden of </w:t>
            </w:r>
            <w:r w:rsidR="00F6659F">
              <w:t>establishing</w:t>
            </w:r>
            <w:r w:rsidR="00DE3362">
              <w:t xml:space="preserve"> </w:t>
            </w:r>
            <w:r w:rsidR="00760EA6" w:rsidRPr="007C61BF">
              <w:t xml:space="preserve">an increase in </w:t>
            </w:r>
            <w:r w:rsidR="00330D1B">
              <w:t xml:space="preserve">a </w:t>
            </w:r>
            <w:r w:rsidR="00760EA6">
              <w:t xml:space="preserve">property's </w:t>
            </w:r>
            <w:r w:rsidR="00760EA6" w:rsidRPr="007C61BF">
              <w:t>appraised value</w:t>
            </w:r>
            <w:r w:rsidR="00650CC4" w:rsidRPr="00DE3362">
              <w:t xml:space="preserve"> by clear and convincing evidence</w:t>
            </w:r>
            <w:r w:rsidR="00514549">
              <w:t>.</w:t>
            </w:r>
            <w:r w:rsidR="00A07E04">
              <w:t xml:space="preserve"> </w:t>
            </w:r>
            <w:r w:rsidR="00DE3362">
              <w:t xml:space="preserve">This provision applies </w:t>
            </w:r>
            <w:r w:rsidR="00DE3362" w:rsidRPr="00DE3362">
              <w:t xml:space="preserve">only to an appeal filed on or after the </w:t>
            </w:r>
            <w:r w:rsidR="00DE3362">
              <w:t xml:space="preserve">bill's </w:t>
            </w:r>
            <w:r w:rsidR="00DE3362" w:rsidRPr="00DE3362">
              <w:t>effective date</w:t>
            </w:r>
            <w:r w:rsidR="00DE3362">
              <w:t>.</w:t>
            </w:r>
          </w:p>
          <w:p w14:paraId="6B99A17B" w14:textId="77777777" w:rsidR="008423E4" w:rsidRPr="00835628" w:rsidRDefault="008423E4" w:rsidP="00B509B4">
            <w:pPr>
              <w:rPr>
                <w:b/>
              </w:rPr>
            </w:pPr>
          </w:p>
        </w:tc>
      </w:tr>
      <w:tr w:rsidR="001505DA" w14:paraId="00F71D9F" w14:textId="77777777" w:rsidTr="00E3617A">
        <w:tc>
          <w:tcPr>
            <w:tcW w:w="9360" w:type="dxa"/>
          </w:tcPr>
          <w:p w14:paraId="24F1A615" w14:textId="77777777" w:rsidR="008423E4" w:rsidRPr="00A8133F" w:rsidRDefault="003C4645" w:rsidP="00B509B4">
            <w:pPr>
              <w:rPr>
                <w:b/>
              </w:rPr>
            </w:pPr>
            <w:r w:rsidRPr="009C1E9A">
              <w:rPr>
                <w:b/>
                <w:u w:val="single"/>
              </w:rPr>
              <w:t>EFFECTIVE DATE</w:t>
            </w:r>
            <w:r>
              <w:rPr>
                <w:b/>
              </w:rPr>
              <w:t xml:space="preserve"> </w:t>
            </w:r>
          </w:p>
          <w:p w14:paraId="657D2980" w14:textId="77777777" w:rsidR="008423E4" w:rsidRDefault="008423E4" w:rsidP="00B509B4"/>
          <w:p w14:paraId="728E8844" w14:textId="77777777" w:rsidR="008423E4" w:rsidRDefault="003C4645" w:rsidP="00B509B4">
            <w:pPr>
              <w:pStyle w:val="Header"/>
              <w:tabs>
                <w:tab w:val="clear" w:pos="4320"/>
                <w:tab w:val="clear" w:pos="8640"/>
              </w:tabs>
              <w:jc w:val="both"/>
            </w:pPr>
            <w:r>
              <w:t>September 1, 2023.</w:t>
            </w:r>
          </w:p>
          <w:p w14:paraId="67E96C92" w14:textId="5184E693" w:rsidR="0034191F" w:rsidRPr="00233FDB" w:rsidRDefault="0034191F" w:rsidP="00B509B4">
            <w:pPr>
              <w:pStyle w:val="Header"/>
              <w:tabs>
                <w:tab w:val="clear" w:pos="4320"/>
                <w:tab w:val="clear" w:pos="8640"/>
              </w:tabs>
              <w:jc w:val="both"/>
              <w:rPr>
                <w:b/>
              </w:rPr>
            </w:pPr>
          </w:p>
        </w:tc>
      </w:tr>
      <w:tr w:rsidR="001505DA" w14:paraId="7167028B" w14:textId="77777777" w:rsidTr="00E3617A">
        <w:tc>
          <w:tcPr>
            <w:tcW w:w="9360" w:type="dxa"/>
          </w:tcPr>
          <w:p w14:paraId="4483A4E7" w14:textId="77777777" w:rsidR="00880B80" w:rsidRDefault="003C4645" w:rsidP="00B509B4">
            <w:pPr>
              <w:jc w:val="both"/>
              <w:rPr>
                <w:b/>
                <w:bCs/>
                <w:u w:val="single"/>
              </w:rPr>
            </w:pPr>
            <w:r>
              <w:rPr>
                <w:b/>
                <w:bCs/>
                <w:u w:val="single"/>
              </w:rPr>
              <w:t>COMPARISON OF INTRODUCED AND SUBSTITUTE</w:t>
            </w:r>
          </w:p>
          <w:p w14:paraId="7C3927C5" w14:textId="77777777" w:rsidR="00662C2C" w:rsidRDefault="00662C2C" w:rsidP="00B509B4">
            <w:pPr>
              <w:jc w:val="both"/>
              <w:rPr>
                <w:b/>
                <w:bCs/>
                <w:u w:val="single"/>
              </w:rPr>
            </w:pPr>
          </w:p>
          <w:p w14:paraId="37B7AC59" w14:textId="77777777" w:rsidR="00246BDF" w:rsidRDefault="003C4645" w:rsidP="00B509B4">
            <w:pPr>
              <w:jc w:val="both"/>
              <w:rPr>
                <w:bCs/>
              </w:rPr>
            </w:pPr>
            <w:r>
              <w:rPr>
                <w:bCs/>
              </w:rPr>
              <w:t xml:space="preserve">While C.S.H.B. 2488 may differ from the </w:t>
            </w:r>
            <w:r>
              <w:rPr>
                <w:bCs/>
              </w:rPr>
              <w:t>introduced in minor or nonsubstantive ways, including by conforming to certain bill drafting conventions, the following summarizes the substantial differences between the introduced and committee substitute versions of the bill.</w:t>
            </w:r>
          </w:p>
          <w:p w14:paraId="1C5BAEDF" w14:textId="77777777" w:rsidR="00246BDF" w:rsidRDefault="00246BDF" w:rsidP="00B509B4">
            <w:pPr>
              <w:jc w:val="both"/>
              <w:rPr>
                <w:bCs/>
              </w:rPr>
            </w:pPr>
          </w:p>
          <w:p w14:paraId="04506101" w14:textId="77777777" w:rsidR="00246BDF" w:rsidRDefault="003C4645" w:rsidP="00B509B4">
            <w:pPr>
              <w:jc w:val="both"/>
              <w:rPr>
                <w:bCs/>
              </w:rPr>
            </w:pPr>
            <w:r>
              <w:rPr>
                <w:bCs/>
              </w:rPr>
              <w:t>Whereas the introduced pla</w:t>
            </w:r>
            <w:r>
              <w:rPr>
                <w:bCs/>
              </w:rPr>
              <w:t xml:space="preserve">ced the burden of supporting an increase in a property's appraised value during a trial de novo appeal of an applicable taxpayer protest on both the appraisal district and the district's chief appraiser specifically, the substitute places that burden only </w:t>
            </w:r>
            <w:r>
              <w:rPr>
                <w:bCs/>
              </w:rPr>
              <w:t>on the appraisal district. Moreover, the substitute includes a specification absent from the introduced that the requisite evidentiary standard to satisfy this burden is clear and convincing evidence.</w:t>
            </w:r>
          </w:p>
          <w:p w14:paraId="1AA61B7D" w14:textId="77777777" w:rsidR="00246BDF" w:rsidRDefault="00246BDF" w:rsidP="00B509B4">
            <w:pPr>
              <w:jc w:val="both"/>
              <w:rPr>
                <w:bCs/>
              </w:rPr>
            </w:pPr>
          </w:p>
          <w:p w14:paraId="71793FC2" w14:textId="77777777" w:rsidR="00246BDF" w:rsidRDefault="003C4645" w:rsidP="00B509B4">
            <w:pPr>
              <w:jc w:val="both"/>
              <w:rPr>
                <w:bCs/>
              </w:rPr>
            </w:pPr>
            <w:r>
              <w:rPr>
                <w:bCs/>
              </w:rPr>
              <w:t>The substitute omits a provision from the introduced t</w:t>
            </w:r>
            <w:r>
              <w:rPr>
                <w:bCs/>
              </w:rPr>
              <w:t>hat</w:t>
            </w:r>
            <w:r w:rsidRPr="00903593">
              <w:rPr>
                <w:bCs/>
              </w:rPr>
              <w:t xml:space="preserve"> makes applicable to appraisal review boards the </w:t>
            </w:r>
            <w:r>
              <w:rPr>
                <w:bCs/>
              </w:rPr>
              <w:t xml:space="preserve">statutory </w:t>
            </w:r>
            <w:r w:rsidRPr="00903593">
              <w:rPr>
                <w:bCs/>
              </w:rPr>
              <w:t>provision conditioning the authority of a chief appraiser to increase the appraised value of a property the final value of which was determined for the previous tax year after a taxpayer protest</w:t>
            </w:r>
            <w:r w:rsidRPr="00903593">
              <w:rPr>
                <w:bCs/>
              </w:rPr>
              <w:t xml:space="preserve"> lowered the appraised value on the increase being reasonably supported by clear and convincing evidence when all reliable and probative evidence in the record is considered as a whole</w:t>
            </w:r>
            <w:r>
              <w:rPr>
                <w:bCs/>
              </w:rPr>
              <w:t>.</w:t>
            </w:r>
          </w:p>
          <w:p w14:paraId="538FDBE7" w14:textId="77777777" w:rsidR="00246BDF" w:rsidRDefault="00246BDF" w:rsidP="00B509B4">
            <w:pPr>
              <w:jc w:val="both"/>
              <w:rPr>
                <w:bCs/>
              </w:rPr>
            </w:pPr>
          </w:p>
          <w:p w14:paraId="20DDA09A" w14:textId="50F41272" w:rsidR="00246BDF" w:rsidRPr="00880B80" w:rsidRDefault="003C4645" w:rsidP="00B509B4">
            <w:pPr>
              <w:jc w:val="both"/>
              <w:rPr>
                <w:b/>
                <w:bCs/>
                <w:u w:val="single"/>
              </w:rPr>
            </w:pPr>
            <w:r>
              <w:rPr>
                <w:bCs/>
              </w:rPr>
              <w:t>The introduced provided for the possible immediate effect of the bill</w:t>
            </w:r>
            <w:r>
              <w:rPr>
                <w:bCs/>
              </w:rPr>
              <w:t>'s provisions, whereas the substitute establishes the bill's effective date as September 1, 2023, and provides for a transition between the old and new law.</w:t>
            </w:r>
          </w:p>
        </w:tc>
      </w:tr>
      <w:tr w:rsidR="001505DA" w14:paraId="366CDB85" w14:textId="77777777" w:rsidTr="00E3617A">
        <w:tc>
          <w:tcPr>
            <w:tcW w:w="9360" w:type="dxa"/>
          </w:tcPr>
          <w:p w14:paraId="7B2786D7" w14:textId="77777777" w:rsidR="00650CC4" w:rsidRPr="00650CC4" w:rsidRDefault="00650CC4" w:rsidP="00B509B4">
            <w:pPr>
              <w:jc w:val="both"/>
            </w:pPr>
          </w:p>
        </w:tc>
      </w:tr>
      <w:tr w:rsidR="001505DA" w14:paraId="1F5AE2A1" w14:textId="77777777" w:rsidTr="00E3617A">
        <w:tc>
          <w:tcPr>
            <w:tcW w:w="9360" w:type="dxa"/>
          </w:tcPr>
          <w:p w14:paraId="1F1C64FC" w14:textId="77777777" w:rsidR="00650CC4" w:rsidRPr="00880B80" w:rsidRDefault="00650CC4" w:rsidP="00B509B4">
            <w:pPr>
              <w:jc w:val="both"/>
            </w:pPr>
          </w:p>
        </w:tc>
      </w:tr>
      <w:tr w:rsidR="001505DA" w14:paraId="22395B23" w14:textId="77777777" w:rsidTr="00E3617A">
        <w:tc>
          <w:tcPr>
            <w:tcW w:w="9360" w:type="dxa"/>
          </w:tcPr>
          <w:p w14:paraId="0CC2A4CF" w14:textId="77777777" w:rsidR="00880B80" w:rsidRPr="00026450" w:rsidRDefault="00880B80" w:rsidP="00B509B4">
            <w:pPr>
              <w:jc w:val="both"/>
            </w:pPr>
          </w:p>
        </w:tc>
      </w:tr>
      <w:tr w:rsidR="001505DA" w14:paraId="10525A1E" w14:textId="77777777" w:rsidTr="00E3617A">
        <w:tc>
          <w:tcPr>
            <w:tcW w:w="9360" w:type="dxa"/>
          </w:tcPr>
          <w:p w14:paraId="3B964E9B" w14:textId="77777777" w:rsidR="00880B80" w:rsidRPr="00026450" w:rsidRDefault="00880B80" w:rsidP="00B509B4">
            <w:pPr>
              <w:jc w:val="both"/>
            </w:pPr>
          </w:p>
        </w:tc>
      </w:tr>
      <w:tr w:rsidR="001505DA" w14:paraId="0E3DF2F4" w14:textId="77777777" w:rsidTr="00E3617A">
        <w:tc>
          <w:tcPr>
            <w:tcW w:w="9360" w:type="dxa"/>
          </w:tcPr>
          <w:p w14:paraId="40656E1C" w14:textId="77777777" w:rsidR="00880B80" w:rsidRPr="00026450" w:rsidRDefault="00880B80" w:rsidP="00B509B4">
            <w:pPr>
              <w:jc w:val="both"/>
            </w:pPr>
          </w:p>
        </w:tc>
      </w:tr>
    </w:tbl>
    <w:p w14:paraId="2338048D" w14:textId="304FFC4B" w:rsidR="008423E4" w:rsidRPr="00BE0E75" w:rsidRDefault="003C4645" w:rsidP="00B509B4">
      <w:pPr>
        <w:jc w:val="both"/>
        <w:rPr>
          <w:rFonts w:ascii="Arial" w:hAnsi="Arial"/>
          <w:sz w:val="16"/>
          <w:szCs w:val="16"/>
        </w:rPr>
      </w:pPr>
      <w:r>
        <w:rPr>
          <w:rFonts w:ascii="Arial" w:hAnsi="Arial"/>
          <w:sz w:val="16"/>
          <w:szCs w:val="16"/>
        </w:rPr>
        <w:t>.</w:t>
      </w:r>
    </w:p>
    <w:p w14:paraId="37135A02" w14:textId="77777777" w:rsidR="004108C3" w:rsidRPr="008423E4" w:rsidRDefault="004108C3" w:rsidP="00B509B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C470" w14:textId="77777777" w:rsidR="00000000" w:rsidRDefault="003C4645">
      <w:r>
        <w:separator/>
      </w:r>
    </w:p>
  </w:endnote>
  <w:endnote w:type="continuationSeparator" w:id="0">
    <w:p w14:paraId="21064314" w14:textId="77777777" w:rsidR="00000000" w:rsidRDefault="003C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6D1B" w14:textId="77777777" w:rsidR="003447B9" w:rsidRDefault="00344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505DA" w14:paraId="3A2024A2" w14:textId="77777777" w:rsidTr="009C1E9A">
      <w:trPr>
        <w:cantSplit/>
      </w:trPr>
      <w:tc>
        <w:tcPr>
          <w:tcW w:w="0" w:type="pct"/>
        </w:tcPr>
        <w:p w14:paraId="2C458578" w14:textId="519BECC2" w:rsidR="00137D90" w:rsidRDefault="00137D90" w:rsidP="009C1E9A">
          <w:pPr>
            <w:pStyle w:val="Footer"/>
            <w:tabs>
              <w:tab w:val="clear" w:pos="8640"/>
              <w:tab w:val="right" w:pos="9360"/>
            </w:tabs>
          </w:pPr>
        </w:p>
      </w:tc>
      <w:tc>
        <w:tcPr>
          <w:tcW w:w="2395" w:type="pct"/>
        </w:tcPr>
        <w:p w14:paraId="021E0D43" w14:textId="77777777" w:rsidR="00137D90" w:rsidRDefault="00137D90" w:rsidP="009C1E9A">
          <w:pPr>
            <w:pStyle w:val="Footer"/>
            <w:tabs>
              <w:tab w:val="clear" w:pos="8640"/>
              <w:tab w:val="right" w:pos="9360"/>
            </w:tabs>
          </w:pPr>
        </w:p>
        <w:p w14:paraId="55EF6D73" w14:textId="77777777" w:rsidR="001A4310" w:rsidRDefault="001A4310" w:rsidP="009C1E9A">
          <w:pPr>
            <w:pStyle w:val="Footer"/>
            <w:tabs>
              <w:tab w:val="clear" w:pos="8640"/>
              <w:tab w:val="right" w:pos="9360"/>
            </w:tabs>
          </w:pPr>
        </w:p>
        <w:p w14:paraId="5D46B1C4" w14:textId="77777777" w:rsidR="00137D90" w:rsidRDefault="00137D90" w:rsidP="009C1E9A">
          <w:pPr>
            <w:pStyle w:val="Footer"/>
            <w:tabs>
              <w:tab w:val="clear" w:pos="8640"/>
              <w:tab w:val="right" w:pos="9360"/>
            </w:tabs>
          </w:pPr>
        </w:p>
      </w:tc>
      <w:tc>
        <w:tcPr>
          <w:tcW w:w="2453" w:type="pct"/>
        </w:tcPr>
        <w:p w14:paraId="7C1E86A3" w14:textId="77777777" w:rsidR="00137D90" w:rsidRDefault="00137D90" w:rsidP="009C1E9A">
          <w:pPr>
            <w:pStyle w:val="Footer"/>
            <w:tabs>
              <w:tab w:val="clear" w:pos="8640"/>
              <w:tab w:val="right" w:pos="9360"/>
            </w:tabs>
            <w:jc w:val="right"/>
          </w:pPr>
        </w:p>
      </w:tc>
    </w:tr>
    <w:tr w:rsidR="001505DA" w14:paraId="60589896" w14:textId="77777777" w:rsidTr="009C1E9A">
      <w:trPr>
        <w:cantSplit/>
      </w:trPr>
      <w:tc>
        <w:tcPr>
          <w:tcW w:w="0" w:type="pct"/>
        </w:tcPr>
        <w:p w14:paraId="7E2A39C8" w14:textId="77777777" w:rsidR="00EC379B" w:rsidRDefault="00EC379B" w:rsidP="009C1E9A">
          <w:pPr>
            <w:pStyle w:val="Footer"/>
            <w:tabs>
              <w:tab w:val="clear" w:pos="8640"/>
              <w:tab w:val="right" w:pos="9360"/>
            </w:tabs>
          </w:pPr>
        </w:p>
      </w:tc>
      <w:tc>
        <w:tcPr>
          <w:tcW w:w="2395" w:type="pct"/>
        </w:tcPr>
        <w:p w14:paraId="34F7B32E" w14:textId="022F123F" w:rsidR="00EC379B" w:rsidRPr="009C1E9A" w:rsidRDefault="003C4645" w:rsidP="009C1E9A">
          <w:pPr>
            <w:pStyle w:val="Footer"/>
            <w:tabs>
              <w:tab w:val="clear" w:pos="8640"/>
              <w:tab w:val="right" w:pos="9360"/>
            </w:tabs>
            <w:rPr>
              <w:rFonts w:ascii="Shruti" w:hAnsi="Shruti"/>
              <w:sz w:val="22"/>
            </w:rPr>
          </w:pPr>
          <w:r>
            <w:rPr>
              <w:rFonts w:ascii="Shruti" w:hAnsi="Shruti"/>
              <w:sz w:val="22"/>
            </w:rPr>
            <w:t>88R 25356-D</w:t>
          </w:r>
        </w:p>
      </w:tc>
      <w:tc>
        <w:tcPr>
          <w:tcW w:w="2453" w:type="pct"/>
        </w:tcPr>
        <w:p w14:paraId="1DA1B990" w14:textId="43B5D093" w:rsidR="00EC379B" w:rsidRDefault="003C4645" w:rsidP="009C1E9A">
          <w:pPr>
            <w:pStyle w:val="Footer"/>
            <w:tabs>
              <w:tab w:val="clear" w:pos="8640"/>
              <w:tab w:val="right" w:pos="9360"/>
            </w:tabs>
            <w:jc w:val="right"/>
          </w:pPr>
          <w:r>
            <w:fldChar w:fldCharType="begin"/>
          </w:r>
          <w:r>
            <w:instrText xml:space="preserve"> DOCPROPERTY  OTID  \* MERGEFORMAT </w:instrText>
          </w:r>
          <w:r>
            <w:fldChar w:fldCharType="separate"/>
          </w:r>
          <w:r w:rsidR="00FD7261">
            <w:t>23.111.1281</w:t>
          </w:r>
          <w:r>
            <w:fldChar w:fldCharType="end"/>
          </w:r>
        </w:p>
      </w:tc>
    </w:tr>
    <w:tr w:rsidR="001505DA" w14:paraId="126ACA74" w14:textId="77777777" w:rsidTr="009C1E9A">
      <w:trPr>
        <w:cantSplit/>
      </w:trPr>
      <w:tc>
        <w:tcPr>
          <w:tcW w:w="0" w:type="pct"/>
        </w:tcPr>
        <w:p w14:paraId="41E29313" w14:textId="77777777" w:rsidR="00EC379B" w:rsidRDefault="00EC379B" w:rsidP="009C1E9A">
          <w:pPr>
            <w:pStyle w:val="Footer"/>
            <w:tabs>
              <w:tab w:val="clear" w:pos="4320"/>
              <w:tab w:val="clear" w:pos="8640"/>
              <w:tab w:val="left" w:pos="2865"/>
            </w:tabs>
          </w:pPr>
        </w:p>
      </w:tc>
      <w:tc>
        <w:tcPr>
          <w:tcW w:w="2395" w:type="pct"/>
        </w:tcPr>
        <w:p w14:paraId="2C311EEA" w14:textId="61990D17" w:rsidR="00EC379B" w:rsidRPr="009C1E9A" w:rsidRDefault="003C4645" w:rsidP="009C1E9A">
          <w:pPr>
            <w:pStyle w:val="Footer"/>
            <w:tabs>
              <w:tab w:val="clear" w:pos="4320"/>
              <w:tab w:val="clear" w:pos="8640"/>
              <w:tab w:val="left" w:pos="2865"/>
            </w:tabs>
            <w:rPr>
              <w:rFonts w:ascii="Shruti" w:hAnsi="Shruti"/>
              <w:sz w:val="22"/>
            </w:rPr>
          </w:pPr>
          <w:r>
            <w:rPr>
              <w:rFonts w:ascii="Shruti" w:hAnsi="Shruti"/>
              <w:sz w:val="22"/>
            </w:rPr>
            <w:t>Substitute Document Number: 88R 19121</w:t>
          </w:r>
        </w:p>
      </w:tc>
      <w:tc>
        <w:tcPr>
          <w:tcW w:w="2453" w:type="pct"/>
        </w:tcPr>
        <w:p w14:paraId="737BB6C5" w14:textId="77777777" w:rsidR="00EC379B" w:rsidRDefault="00EC379B" w:rsidP="006D504F">
          <w:pPr>
            <w:pStyle w:val="Footer"/>
            <w:rPr>
              <w:rStyle w:val="PageNumber"/>
            </w:rPr>
          </w:pPr>
        </w:p>
        <w:p w14:paraId="6C1F9382" w14:textId="77777777" w:rsidR="00EC379B" w:rsidRDefault="00EC379B" w:rsidP="009C1E9A">
          <w:pPr>
            <w:pStyle w:val="Footer"/>
            <w:tabs>
              <w:tab w:val="clear" w:pos="8640"/>
              <w:tab w:val="right" w:pos="9360"/>
            </w:tabs>
            <w:jc w:val="right"/>
          </w:pPr>
        </w:p>
      </w:tc>
    </w:tr>
    <w:tr w:rsidR="001505DA" w14:paraId="4AB5C0C1" w14:textId="77777777" w:rsidTr="009C1E9A">
      <w:trPr>
        <w:cantSplit/>
        <w:trHeight w:val="323"/>
      </w:trPr>
      <w:tc>
        <w:tcPr>
          <w:tcW w:w="0" w:type="pct"/>
          <w:gridSpan w:val="3"/>
        </w:tcPr>
        <w:p w14:paraId="25E59118" w14:textId="77777777" w:rsidR="00EC379B" w:rsidRDefault="003C46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2FC0E19" w14:textId="77777777" w:rsidR="00EC379B" w:rsidRDefault="00EC379B" w:rsidP="009C1E9A">
          <w:pPr>
            <w:pStyle w:val="Footer"/>
            <w:tabs>
              <w:tab w:val="clear" w:pos="8640"/>
              <w:tab w:val="right" w:pos="9360"/>
            </w:tabs>
            <w:jc w:val="center"/>
          </w:pPr>
        </w:p>
      </w:tc>
    </w:tr>
  </w:tbl>
  <w:p w14:paraId="39B086B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D8C8" w14:textId="77777777" w:rsidR="003447B9" w:rsidRDefault="00344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2D1E" w14:textId="77777777" w:rsidR="00000000" w:rsidRDefault="003C4645">
      <w:r>
        <w:separator/>
      </w:r>
    </w:p>
  </w:footnote>
  <w:footnote w:type="continuationSeparator" w:id="0">
    <w:p w14:paraId="795EC65F" w14:textId="77777777" w:rsidR="00000000" w:rsidRDefault="003C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C5BA" w14:textId="77777777" w:rsidR="003447B9" w:rsidRDefault="00344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F68A" w14:textId="77777777" w:rsidR="003447B9" w:rsidRDefault="00344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5D27" w14:textId="77777777" w:rsidR="003447B9" w:rsidRDefault="00344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49"/>
    <w:rsid w:val="00000A70"/>
    <w:rsid w:val="000032B8"/>
    <w:rsid w:val="00003B06"/>
    <w:rsid w:val="000054B9"/>
    <w:rsid w:val="00007461"/>
    <w:rsid w:val="0001117E"/>
    <w:rsid w:val="0001125F"/>
    <w:rsid w:val="00012C3B"/>
    <w:rsid w:val="0001338E"/>
    <w:rsid w:val="00013D24"/>
    <w:rsid w:val="00014AF0"/>
    <w:rsid w:val="000155D6"/>
    <w:rsid w:val="00015D4E"/>
    <w:rsid w:val="00020C1E"/>
    <w:rsid w:val="00020E9B"/>
    <w:rsid w:val="000213A5"/>
    <w:rsid w:val="000236C1"/>
    <w:rsid w:val="000236EC"/>
    <w:rsid w:val="0002413D"/>
    <w:rsid w:val="000249F2"/>
    <w:rsid w:val="00026450"/>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049"/>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06B6"/>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C12"/>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424"/>
    <w:rsid w:val="00137D90"/>
    <w:rsid w:val="00141FB6"/>
    <w:rsid w:val="00142F8E"/>
    <w:rsid w:val="00143C8B"/>
    <w:rsid w:val="00147530"/>
    <w:rsid w:val="001505DA"/>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21C"/>
    <w:rsid w:val="001B053A"/>
    <w:rsid w:val="001B24D4"/>
    <w:rsid w:val="001B26D8"/>
    <w:rsid w:val="001B3BFA"/>
    <w:rsid w:val="001B3D3F"/>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BDF"/>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DB0"/>
    <w:rsid w:val="002734D6"/>
    <w:rsid w:val="00274C45"/>
    <w:rsid w:val="00275109"/>
    <w:rsid w:val="00275BEE"/>
    <w:rsid w:val="00277434"/>
    <w:rsid w:val="00280123"/>
    <w:rsid w:val="00281343"/>
    <w:rsid w:val="00281883"/>
    <w:rsid w:val="002874E3"/>
    <w:rsid w:val="00287656"/>
    <w:rsid w:val="00291518"/>
    <w:rsid w:val="00293BA7"/>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0D1B"/>
    <w:rsid w:val="00333930"/>
    <w:rsid w:val="00336BA4"/>
    <w:rsid w:val="00336C7A"/>
    <w:rsid w:val="00337392"/>
    <w:rsid w:val="00337659"/>
    <w:rsid w:val="0034191F"/>
    <w:rsid w:val="003427C9"/>
    <w:rsid w:val="00343A92"/>
    <w:rsid w:val="00344530"/>
    <w:rsid w:val="003446DC"/>
    <w:rsid w:val="003447B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F4E"/>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645"/>
    <w:rsid w:val="003C664C"/>
    <w:rsid w:val="003D726D"/>
    <w:rsid w:val="003E0875"/>
    <w:rsid w:val="003E0BB8"/>
    <w:rsid w:val="003E6CB0"/>
    <w:rsid w:val="003F1F5E"/>
    <w:rsid w:val="003F286A"/>
    <w:rsid w:val="003F472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DED"/>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084E"/>
    <w:rsid w:val="0051324D"/>
    <w:rsid w:val="00514549"/>
    <w:rsid w:val="00515466"/>
    <w:rsid w:val="005154F7"/>
    <w:rsid w:val="005159DE"/>
    <w:rsid w:val="005160F7"/>
    <w:rsid w:val="00523C5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514"/>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5FF"/>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384"/>
    <w:rsid w:val="006402E7"/>
    <w:rsid w:val="00640CB6"/>
    <w:rsid w:val="00641B42"/>
    <w:rsid w:val="00645750"/>
    <w:rsid w:val="00650692"/>
    <w:rsid w:val="006508D3"/>
    <w:rsid w:val="00650AFA"/>
    <w:rsid w:val="00650CC4"/>
    <w:rsid w:val="00662B77"/>
    <w:rsid w:val="00662C2C"/>
    <w:rsid w:val="00662D0E"/>
    <w:rsid w:val="00663265"/>
    <w:rsid w:val="0066345F"/>
    <w:rsid w:val="0066485B"/>
    <w:rsid w:val="0067036E"/>
    <w:rsid w:val="00671693"/>
    <w:rsid w:val="006757AA"/>
    <w:rsid w:val="00675AAC"/>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B0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082"/>
    <w:rsid w:val="00727E7A"/>
    <w:rsid w:val="0073163C"/>
    <w:rsid w:val="00731DE3"/>
    <w:rsid w:val="00735B9D"/>
    <w:rsid w:val="007365A5"/>
    <w:rsid w:val="00736FB0"/>
    <w:rsid w:val="007404BC"/>
    <w:rsid w:val="00740D13"/>
    <w:rsid w:val="00740F5F"/>
    <w:rsid w:val="00742794"/>
    <w:rsid w:val="00743C4C"/>
    <w:rsid w:val="00743F1D"/>
    <w:rsid w:val="007445B7"/>
    <w:rsid w:val="00744920"/>
    <w:rsid w:val="007509BE"/>
    <w:rsid w:val="0075287B"/>
    <w:rsid w:val="007554A8"/>
    <w:rsid w:val="00755C7B"/>
    <w:rsid w:val="00760EA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1BF"/>
    <w:rsid w:val="007C6803"/>
    <w:rsid w:val="007D2892"/>
    <w:rsid w:val="007D2DCC"/>
    <w:rsid w:val="007D47E1"/>
    <w:rsid w:val="007D7FCB"/>
    <w:rsid w:val="007E11D9"/>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F6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B80"/>
    <w:rsid w:val="008826F2"/>
    <w:rsid w:val="008845BA"/>
    <w:rsid w:val="00884AE3"/>
    <w:rsid w:val="008850F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593"/>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B56"/>
    <w:rsid w:val="00953499"/>
    <w:rsid w:val="00954A16"/>
    <w:rsid w:val="00955DC3"/>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988"/>
    <w:rsid w:val="009F64AE"/>
    <w:rsid w:val="00A0042D"/>
    <w:rsid w:val="00A0053A"/>
    <w:rsid w:val="00A00C33"/>
    <w:rsid w:val="00A0106D"/>
    <w:rsid w:val="00A01103"/>
    <w:rsid w:val="00A012C0"/>
    <w:rsid w:val="00A014BB"/>
    <w:rsid w:val="00A01E10"/>
    <w:rsid w:val="00A02588"/>
    <w:rsid w:val="00A02D81"/>
    <w:rsid w:val="00A03F54"/>
    <w:rsid w:val="00A0432D"/>
    <w:rsid w:val="00A07689"/>
    <w:rsid w:val="00A07906"/>
    <w:rsid w:val="00A07E04"/>
    <w:rsid w:val="00A10908"/>
    <w:rsid w:val="00A12330"/>
    <w:rsid w:val="00A1259F"/>
    <w:rsid w:val="00A1446F"/>
    <w:rsid w:val="00A151B5"/>
    <w:rsid w:val="00A220FF"/>
    <w:rsid w:val="00A227E0"/>
    <w:rsid w:val="00A232E4"/>
    <w:rsid w:val="00A24AAD"/>
    <w:rsid w:val="00A26A8A"/>
    <w:rsid w:val="00A27255"/>
    <w:rsid w:val="00A32304"/>
    <w:rsid w:val="00A3420E"/>
    <w:rsid w:val="00A35D25"/>
    <w:rsid w:val="00A35D66"/>
    <w:rsid w:val="00A41085"/>
    <w:rsid w:val="00A425FA"/>
    <w:rsid w:val="00A43960"/>
    <w:rsid w:val="00A44ECE"/>
    <w:rsid w:val="00A46902"/>
    <w:rsid w:val="00A50CDB"/>
    <w:rsid w:val="00A51F3E"/>
    <w:rsid w:val="00A5364B"/>
    <w:rsid w:val="00A54142"/>
    <w:rsid w:val="00A54C42"/>
    <w:rsid w:val="00A572B1"/>
    <w:rsid w:val="00A577AF"/>
    <w:rsid w:val="00A60177"/>
    <w:rsid w:val="00A61C27"/>
    <w:rsid w:val="00A62638"/>
    <w:rsid w:val="00A6344D"/>
    <w:rsid w:val="00A644B8"/>
    <w:rsid w:val="00A67526"/>
    <w:rsid w:val="00A70E35"/>
    <w:rsid w:val="00A720DC"/>
    <w:rsid w:val="00A803CF"/>
    <w:rsid w:val="00A8133F"/>
    <w:rsid w:val="00A82CB4"/>
    <w:rsid w:val="00A837A8"/>
    <w:rsid w:val="00A83C36"/>
    <w:rsid w:val="00A8549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CFD"/>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098"/>
    <w:rsid w:val="00AF48B4"/>
    <w:rsid w:val="00AF4923"/>
    <w:rsid w:val="00AF7B36"/>
    <w:rsid w:val="00AF7C74"/>
    <w:rsid w:val="00B000AF"/>
    <w:rsid w:val="00B02A1B"/>
    <w:rsid w:val="00B04913"/>
    <w:rsid w:val="00B04E79"/>
    <w:rsid w:val="00B07488"/>
    <w:rsid w:val="00B075A2"/>
    <w:rsid w:val="00B10DD2"/>
    <w:rsid w:val="00B115DC"/>
    <w:rsid w:val="00B11952"/>
    <w:rsid w:val="00B1230B"/>
    <w:rsid w:val="00B149AC"/>
    <w:rsid w:val="00B14BD2"/>
    <w:rsid w:val="00B1557F"/>
    <w:rsid w:val="00B1668D"/>
    <w:rsid w:val="00B177D7"/>
    <w:rsid w:val="00B17981"/>
    <w:rsid w:val="00B233BB"/>
    <w:rsid w:val="00B25612"/>
    <w:rsid w:val="00B26437"/>
    <w:rsid w:val="00B2678E"/>
    <w:rsid w:val="00B30647"/>
    <w:rsid w:val="00B31F0E"/>
    <w:rsid w:val="00B34F25"/>
    <w:rsid w:val="00B43672"/>
    <w:rsid w:val="00B473D8"/>
    <w:rsid w:val="00B509B4"/>
    <w:rsid w:val="00B5165A"/>
    <w:rsid w:val="00B524C1"/>
    <w:rsid w:val="00B52C8D"/>
    <w:rsid w:val="00B564BF"/>
    <w:rsid w:val="00B6104E"/>
    <w:rsid w:val="00B610C7"/>
    <w:rsid w:val="00B62106"/>
    <w:rsid w:val="00B626A8"/>
    <w:rsid w:val="00B63C2F"/>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398"/>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7B6"/>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0F5"/>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8A1"/>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8A8"/>
    <w:rsid w:val="00D03176"/>
    <w:rsid w:val="00D060A8"/>
    <w:rsid w:val="00D06605"/>
    <w:rsid w:val="00D0720F"/>
    <w:rsid w:val="00D074E2"/>
    <w:rsid w:val="00D11B0B"/>
    <w:rsid w:val="00D12A3E"/>
    <w:rsid w:val="00D22160"/>
    <w:rsid w:val="00D22172"/>
    <w:rsid w:val="00D2301B"/>
    <w:rsid w:val="00D239EE"/>
    <w:rsid w:val="00D2561E"/>
    <w:rsid w:val="00D30534"/>
    <w:rsid w:val="00D35728"/>
    <w:rsid w:val="00D359A7"/>
    <w:rsid w:val="00D37BCF"/>
    <w:rsid w:val="00D40F93"/>
    <w:rsid w:val="00D42277"/>
    <w:rsid w:val="00D426CA"/>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5A7"/>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36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17A"/>
    <w:rsid w:val="00E3679D"/>
    <w:rsid w:val="00E375B5"/>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990"/>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B8E"/>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235"/>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59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26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9DC07B-EF50-4016-A4CB-1E6073FF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14549"/>
    <w:rPr>
      <w:sz w:val="16"/>
      <w:szCs w:val="16"/>
    </w:rPr>
  </w:style>
  <w:style w:type="paragraph" w:styleId="CommentText">
    <w:name w:val="annotation text"/>
    <w:basedOn w:val="Normal"/>
    <w:link w:val="CommentTextChar"/>
    <w:semiHidden/>
    <w:unhideWhenUsed/>
    <w:rsid w:val="00514549"/>
    <w:rPr>
      <w:sz w:val="20"/>
      <w:szCs w:val="20"/>
    </w:rPr>
  </w:style>
  <w:style w:type="character" w:customStyle="1" w:styleId="CommentTextChar">
    <w:name w:val="Comment Text Char"/>
    <w:basedOn w:val="DefaultParagraphFont"/>
    <w:link w:val="CommentText"/>
    <w:semiHidden/>
    <w:rsid w:val="00514549"/>
  </w:style>
  <w:style w:type="paragraph" w:styleId="CommentSubject">
    <w:name w:val="annotation subject"/>
    <w:basedOn w:val="CommentText"/>
    <w:next w:val="CommentText"/>
    <w:link w:val="CommentSubjectChar"/>
    <w:semiHidden/>
    <w:unhideWhenUsed/>
    <w:rsid w:val="00514549"/>
    <w:rPr>
      <w:b/>
      <w:bCs/>
    </w:rPr>
  </w:style>
  <w:style w:type="character" w:customStyle="1" w:styleId="CommentSubjectChar">
    <w:name w:val="Comment Subject Char"/>
    <w:basedOn w:val="CommentTextChar"/>
    <w:link w:val="CommentSubject"/>
    <w:semiHidden/>
    <w:rsid w:val="00514549"/>
    <w:rPr>
      <w:b/>
      <w:bCs/>
    </w:rPr>
  </w:style>
  <w:style w:type="paragraph" w:styleId="Revision">
    <w:name w:val="Revision"/>
    <w:hidden/>
    <w:uiPriority w:val="99"/>
    <w:semiHidden/>
    <w:rsid w:val="00760EA6"/>
    <w:rPr>
      <w:sz w:val="24"/>
      <w:szCs w:val="24"/>
    </w:rPr>
  </w:style>
  <w:style w:type="character" w:styleId="Hyperlink">
    <w:name w:val="Hyperlink"/>
    <w:basedOn w:val="DefaultParagraphFont"/>
    <w:unhideWhenUsed/>
    <w:rsid w:val="00CD48A1"/>
    <w:rPr>
      <w:color w:val="0000FF" w:themeColor="hyperlink"/>
      <w:u w:val="single"/>
    </w:rPr>
  </w:style>
  <w:style w:type="character" w:customStyle="1" w:styleId="UnresolvedMention1">
    <w:name w:val="Unresolved Mention1"/>
    <w:basedOn w:val="DefaultParagraphFont"/>
    <w:uiPriority w:val="99"/>
    <w:semiHidden/>
    <w:unhideWhenUsed/>
    <w:rsid w:val="00CD48A1"/>
    <w:rPr>
      <w:color w:val="605E5C"/>
      <w:shd w:val="clear" w:color="auto" w:fill="E1DFDD"/>
    </w:rPr>
  </w:style>
  <w:style w:type="character" w:styleId="FollowedHyperlink">
    <w:name w:val="FollowedHyperlink"/>
    <w:basedOn w:val="DefaultParagraphFont"/>
    <w:semiHidden/>
    <w:unhideWhenUsed/>
    <w:rsid w:val="00CD4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4349</Characters>
  <Application>Microsoft Office Word</Application>
  <DocSecurity>4</DocSecurity>
  <Lines>99</Lines>
  <Paragraphs>25</Paragraphs>
  <ScaleCrop>false</ScaleCrop>
  <HeadingPairs>
    <vt:vector size="2" baseType="variant">
      <vt:variant>
        <vt:lpstr>Title</vt:lpstr>
      </vt:variant>
      <vt:variant>
        <vt:i4>1</vt:i4>
      </vt:variant>
    </vt:vector>
  </HeadingPairs>
  <TitlesOfParts>
    <vt:vector size="1" baseType="lpstr">
      <vt:lpstr>BA - HB02488 (Committee Report (Substituted))</vt:lpstr>
    </vt:vector>
  </TitlesOfParts>
  <Company>State of Texas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25356</dc:subject>
  <dc:creator>State of Texas</dc:creator>
  <dc:description>HB 2488 by Geren-(H)Ways &amp; Means (Substitute Document Number: 88R 19121)</dc:description>
  <cp:lastModifiedBy>Stacey Nicchio</cp:lastModifiedBy>
  <cp:revision>2</cp:revision>
  <cp:lastPrinted>2003-11-26T17:21:00Z</cp:lastPrinted>
  <dcterms:created xsi:type="dcterms:W3CDTF">2023-04-21T23:04:00Z</dcterms:created>
  <dcterms:modified xsi:type="dcterms:W3CDTF">2023-04-21T23:04:00Z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23.111.1281</vt:lpwstr>
  </property>
</Properties>
</file>