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5235A" w14:paraId="56B7DADF" w14:textId="77777777" w:rsidTr="00345119">
        <w:tc>
          <w:tcPr>
            <w:tcW w:w="9576" w:type="dxa"/>
            <w:noWrap/>
          </w:tcPr>
          <w:p w14:paraId="41723DC1" w14:textId="77777777" w:rsidR="008423E4" w:rsidRPr="0022177D" w:rsidRDefault="00882B4B" w:rsidP="00AA7444">
            <w:pPr>
              <w:pStyle w:val="Heading1"/>
            </w:pPr>
            <w:r w:rsidRPr="00631897">
              <w:t>BILL ANALYSIS</w:t>
            </w:r>
          </w:p>
        </w:tc>
      </w:tr>
    </w:tbl>
    <w:p w14:paraId="66547AF8" w14:textId="77777777" w:rsidR="008423E4" w:rsidRPr="0022177D" w:rsidRDefault="008423E4" w:rsidP="00AA7444">
      <w:pPr>
        <w:jc w:val="center"/>
      </w:pPr>
    </w:p>
    <w:p w14:paraId="51FE73C1" w14:textId="77777777" w:rsidR="008423E4" w:rsidRPr="00B31F0E" w:rsidRDefault="008423E4" w:rsidP="00AA7444"/>
    <w:p w14:paraId="29AB9007" w14:textId="77777777" w:rsidR="008423E4" w:rsidRPr="00742794" w:rsidRDefault="008423E4" w:rsidP="00AA744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5235A" w14:paraId="4BE951F8" w14:textId="77777777" w:rsidTr="00345119">
        <w:tc>
          <w:tcPr>
            <w:tcW w:w="9576" w:type="dxa"/>
          </w:tcPr>
          <w:p w14:paraId="35C11903" w14:textId="4CBB71AB" w:rsidR="008423E4" w:rsidRPr="00861995" w:rsidRDefault="00882B4B" w:rsidP="00AA7444">
            <w:pPr>
              <w:jc w:val="right"/>
            </w:pPr>
            <w:r>
              <w:t>H.B. 2574</w:t>
            </w:r>
          </w:p>
        </w:tc>
      </w:tr>
      <w:tr w:rsidR="0055235A" w14:paraId="335B0C08" w14:textId="77777777" w:rsidTr="00345119">
        <w:tc>
          <w:tcPr>
            <w:tcW w:w="9576" w:type="dxa"/>
          </w:tcPr>
          <w:p w14:paraId="50FA74AE" w14:textId="4BFCB0E1" w:rsidR="008423E4" w:rsidRPr="00861995" w:rsidRDefault="00882B4B" w:rsidP="00AA7444">
            <w:pPr>
              <w:jc w:val="right"/>
            </w:pPr>
            <w:r>
              <w:t xml:space="preserve">By: </w:t>
            </w:r>
            <w:r w:rsidR="00B14590">
              <w:t>Lambert</w:t>
            </w:r>
          </w:p>
        </w:tc>
      </w:tr>
      <w:tr w:rsidR="0055235A" w14:paraId="0130D269" w14:textId="77777777" w:rsidTr="00345119">
        <w:tc>
          <w:tcPr>
            <w:tcW w:w="9576" w:type="dxa"/>
          </w:tcPr>
          <w:p w14:paraId="46E95A0F" w14:textId="234E2114" w:rsidR="008423E4" w:rsidRPr="00861995" w:rsidRDefault="00882B4B" w:rsidP="00AA7444">
            <w:pPr>
              <w:jc w:val="right"/>
            </w:pPr>
            <w:r>
              <w:t>Business &amp; Industry</w:t>
            </w:r>
          </w:p>
        </w:tc>
      </w:tr>
      <w:tr w:rsidR="0055235A" w14:paraId="55911797" w14:textId="77777777" w:rsidTr="00345119">
        <w:tc>
          <w:tcPr>
            <w:tcW w:w="9576" w:type="dxa"/>
          </w:tcPr>
          <w:p w14:paraId="4904BB45" w14:textId="10C8C7BD" w:rsidR="008423E4" w:rsidRDefault="00882B4B" w:rsidP="00AA7444">
            <w:pPr>
              <w:jc w:val="right"/>
            </w:pPr>
            <w:r>
              <w:t>Committee Report (Unamended)</w:t>
            </w:r>
          </w:p>
        </w:tc>
      </w:tr>
    </w:tbl>
    <w:p w14:paraId="3A42D2C6" w14:textId="77777777" w:rsidR="008423E4" w:rsidRDefault="008423E4" w:rsidP="00AA7444">
      <w:pPr>
        <w:tabs>
          <w:tab w:val="right" w:pos="9360"/>
        </w:tabs>
      </w:pPr>
    </w:p>
    <w:p w14:paraId="309CC462" w14:textId="77777777" w:rsidR="008423E4" w:rsidRDefault="008423E4" w:rsidP="00AA7444"/>
    <w:p w14:paraId="09269DE6" w14:textId="77777777" w:rsidR="008423E4" w:rsidRDefault="008423E4" w:rsidP="00AA744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5235A" w14:paraId="2CFA4B02" w14:textId="77777777" w:rsidTr="00345119">
        <w:tc>
          <w:tcPr>
            <w:tcW w:w="9576" w:type="dxa"/>
          </w:tcPr>
          <w:p w14:paraId="2984402C" w14:textId="77777777" w:rsidR="008423E4" w:rsidRPr="00A8133F" w:rsidRDefault="00882B4B" w:rsidP="00AA744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19E93A0" w14:textId="77777777" w:rsidR="008423E4" w:rsidRDefault="008423E4" w:rsidP="00AA7444"/>
          <w:p w14:paraId="42F14829" w14:textId="77777777" w:rsidR="008423E4" w:rsidRDefault="00882B4B" w:rsidP="00AA744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16DD3">
              <w:t xml:space="preserve">The Texas Self Storage Association and self-storage facility owners </w:t>
            </w:r>
            <w:r w:rsidR="00907E48">
              <w:t>have called</w:t>
            </w:r>
            <w:r w:rsidRPr="00116DD3">
              <w:t xml:space="preserve"> for legislation to modify </w:t>
            </w:r>
            <w:r w:rsidR="00907E48">
              <w:t>the requirement</w:t>
            </w:r>
            <w:r w:rsidRPr="00116DD3">
              <w:t xml:space="preserve"> </w:t>
            </w:r>
            <w:r w:rsidR="002F07DB">
              <w:t>for storage unit</w:t>
            </w:r>
            <w:r w:rsidRPr="00116DD3">
              <w:t xml:space="preserve"> lien sales </w:t>
            </w:r>
            <w:r w:rsidR="002F07DB">
              <w:t>to be advertised</w:t>
            </w:r>
            <w:r w:rsidRPr="00116DD3">
              <w:t xml:space="preserve"> through a print newspaper in the </w:t>
            </w:r>
            <w:r w:rsidR="00907E48">
              <w:t xml:space="preserve">applicable </w:t>
            </w:r>
            <w:r w:rsidRPr="00116DD3">
              <w:t>county</w:t>
            </w:r>
            <w:r w:rsidR="00907E48">
              <w:t>.</w:t>
            </w:r>
            <w:r w:rsidRPr="00116DD3">
              <w:t xml:space="preserve"> If a county does not have a newspaper</w:t>
            </w:r>
            <w:r w:rsidRPr="00116DD3">
              <w:t xml:space="preserve">, physical advertisements of the sale must be posted near the facility. </w:t>
            </w:r>
            <w:r w:rsidR="002F07DB">
              <w:t>However, p</w:t>
            </w:r>
            <w:r w:rsidRPr="00116DD3">
              <w:t>rint newspapers are no longer the only effective way to attract bidders to sale, and other methods should be permitted</w:t>
            </w:r>
            <w:r w:rsidR="002F07DB">
              <w:t>.</w:t>
            </w:r>
            <w:r>
              <w:t xml:space="preserve"> </w:t>
            </w:r>
            <w:r w:rsidR="002F07DB">
              <w:t>H.B.</w:t>
            </w:r>
            <w:r w:rsidR="005C442A">
              <w:t> </w:t>
            </w:r>
            <w:r w:rsidR="002F07DB">
              <w:t>2574</w:t>
            </w:r>
            <w:r w:rsidRPr="00116DD3">
              <w:t xml:space="preserve"> seeks to </w:t>
            </w:r>
            <w:r w:rsidR="002F07DB">
              <w:t xml:space="preserve">give facility owners </w:t>
            </w:r>
            <w:r w:rsidR="00543ECF">
              <w:t xml:space="preserve">the option to </w:t>
            </w:r>
            <w:r w:rsidR="002F07DB" w:rsidRPr="00116DD3">
              <w:t xml:space="preserve">access more effective methods of attracting bidders </w:t>
            </w:r>
            <w:r w:rsidR="002F07DB">
              <w:t xml:space="preserve">by </w:t>
            </w:r>
            <w:r w:rsidR="00543ECF">
              <w:t>advertising these sales</w:t>
            </w:r>
            <w:r w:rsidRPr="00116DD3">
              <w:t xml:space="preserve"> from a publicly accessible website or by other commercially reasonable methods</w:t>
            </w:r>
            <w:r w:rsidR="00543ECF">
              <w:t>.</w:t>
            </w:r>
            <w:r w:rsidRPr="00116DD3">
              <w:t xml:space="preserve"> </w:t>
            </w:r>
          </w:p>
          <w:p w14:paraId="474B409B" w14:textId="1FA2C877" w:rsidR="00AA7444" w:rsidRPr="00E26B13" w:rsidRDefault="00AA7444" w:rsidP="00AA744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55235A" w14:paraId="2E05A157" w14:textId="77777777" w:rsidTr="00345119">
        <w:tc>
          <w:tcPr>
            <w:tcW w:w="9576" w:type="dxa"/>
          </w:tcPr>
          <w:p w14:paraId="191C5742" w14:textId="77777777" w:rsidR="0017725B" w:rsidRDefault="00882B4B" w:rsidP="00AA744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F4C360C" w14:textId="77777777" w:rsidR="0017725B" w:rsidRDefault="0017725B" w:rsidP="00AA7444">
            <w:pPr>
              <w:rPr>
                <w:b/>
                <w:u w:val="single"/>
              </w:rPr>
            </w:pPr>
          </w:p>
          <w:p w14:paraId="2457D611" w14:textId="58BC1B9F" w:rsidR="00714740" w:rsidRPr="00714740" w:rsidRDefault="00882B4B" w:rsidP="00AA7444">
            <w:pPr>
              <w:jc w:val="both"/>
            </w:pPr>
            <w:r>
              <w:t xml:space="preserve">It is the committee's opinion that this bill does not </w:t>
            </w:r>
            <w:r>
              <w:t>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0FA7A8DB" w14:textId="77777777" w:rsidR="0017725B" w:rsidRPr="0017725B" w:rsidRDefault="0017725B" w:rsidP="00AA7444">
            <w:pPr>
              <w:rPr>
                <w:b/>
                <w:u w:val="single"/>
              </w:rPr>
            </w:pPr>
          </w:p>
        </w:tc>
      </w:tr>
      <w:tr w:rsidR="0055235A" w14:paraId="5570F5FB" w14:textId="77777777" w:rsidTr="00345119">
        <w:tc>
          <w:tcPr>
            <w:tcW w:w="9576" w:type="dxa"/>
          </w:tcPr>
          <w:p w14:paraId="290B60E5" w14:textId="77777777" w:rsidR="008423E4" w:rsidRPr="00A8133F" w:rsidRDefault="00882B4B" w:rsidP="00AA744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4910650" w14:textId="77777777" w:rsidR="008423E4" w:rsidRDefault="008423E4" w:rsidP="00AA7444"/>
          <w:p w14:paraId="7BE5F8F7" w14:textId="408D18A3" w:rsidR="00714740" w:rsidRDefault="00882B4B" w:rsidP="00AA744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</w:t>
            </w:r>
            <w:r>
              <w:t>mittee's opinion that this bill does not expressly grant any additional rulemaking authority to a state officer, department, agency, or institution.</w:t>
            </w:r>
          </w:p>
          <w:p w14:paraId="707F0F0A" w14:textId="77777777" w:rsidR="008423E4" w:rsidRPr="00E21FDC" w:rsidRDefault="008423E4" w:rsidP="00AA7444">
            <w:pPr>
              <w:rPr>
                <w:b/>
              </w:rPr>
            </w:pPr>
          </w:p>
        </w:tc>
      </w:tr>
      <w:tr w:rsidR="0055235A" w14:paraId="341DBE90" w14:textId="77777777" w:rsidTr="00345119">
        <w:tc>
          <w:tcPr>
            <w:tcW w:w="9576" w:type="dxa"/>
          </w:tcPr>
          <w:p w14:paraId="6999880E" w14:textId="77777777" w:rsidR="008423E4" w:rsidRPr="00A8133F" w:rsidRDefault="00882B4B" w:rsidP="00AA744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205742D" w14:textId="77777777" w:rsidR="008423E4" w:rsidRDefault="008423E4" w:rsidP="00AA7444"/>
          <w:p w14:paraId="0E674EEA" w14:textId="4F3AF41E" w:rsidR="00A5451B" w:rsidRDefault="00882B4B" w:rsidP="00AA744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2574</w:t>
            </w:r>
            <w:r w:rsidR="00F5797D">
              <w:t xml:space="preserve"> amends the </w:t>
            </w:r>
            <w:r w:rsidR="00F5797D" w:rsidRPr="00F5797D">
              <w:t>Property Code</w:t>
            </w:r>
            <w:r w:rsidR="00F5797D">
              <w:t xml:space="preserve"> to </w:t>
            </w:r>
            <w:r w:rsidR="00BD4D61">
              <w:t xml:space="preserve">revise notice requirements for a sale </w:t>
            </w:r>
            <w:r w:rsidR="00BD4D61" w:rsidRPr="00BD4D61">
              <w:t>of property to enforce a self-service storage facility lien</w:t>
            </w:r>
            <w:r w:rsidR="00711370">
              <w:t xml:space="preserve">. The bill gives </w:t>
            </w:r>
            <w:r w:rsidR="00F5797D">
              <w:t xml:space="preserve">the lessor of </w:t>
            </w:r>
            <w:r w:rsidR="00011F39">
              <w:t xml:space="preserve">such </w:t>
            </w:r>
            <w:r w:rsidR="00F5797D">
              <w:t xml:space="preserve">a facility </w:t>
            </w:r>
            <w:r>
              <w:t>the options of advertising the sale in the following manners as alternative</w:t>
            </w:r>
            <w:r w:rsidR="009B32B9">
              <w:t>s</w:t>
            </w:r>
            <w:r>
              <w:t xml:space="preserve"> to publishing the notice in a</w:t>
            </w:r>
            <w:r w:rsidR="00B9595B">
              <w:t>n applicable</w:t>
            </w:r>
            <w:r>
              <w:t xml:space="preserve"> newspaper:</w:t>
            </w:r>
          </w:p>
          <w:p w14:paraId="19D555B5" w14:textId="75B69F3F" w:rsidR="00A5451B" w:rsidRDefault="00882B4B" w:rsidP="00AA7444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publishing notice </w:t>
            </w:r>
            <w:r w:rsidR="00B9595B">
              <w:t xml:space="preserve">advertising the sale </w:t>
            </w:r>
            <w:r w:rsidRPr="00711370">
              <w:t>on a publicly accessible website that regularly advertises or conducts auctions of personal property</w:t>
            </w:r>
            <w:r>
              <w:t>; or</w:t>
            </w:r>
          </w:p>
          <w:p w14:paraId="26A8D0EB" w14:textId="47BD21BE" w:rsidR="00A5451B" w:rsidRDefault="00882B4B" w:rsidP="00AA7444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A5451B">
              <w:t>giv</w:t>
            </w:r>
            <w:r>
              <w:t>ing</w:t>
            </w:r>
            <w:r w:rsidRPr="00A5451B">
              <w:t xml:space="preserve"> </w:t>
            </w:r>
            <w:r w:rsidR="00B9595B">
              <w:t xml:space="preserve">such </w:t>
            </w:r>
            <w:r w:rsidRPr="00A5451B">
              <w:t>notice in a commercially reasonable manner.</w:t>
            </w:r>
          </w:p>
          <w:p w14:paraId="444AD1FE" w14:textId="445CA227" w:rsidR="00A5451B" w:rsidRDefault="00882B4B" w:rsidP="00AA744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removes the requirement that </w:t>
            </w:r>
            <w:r>
              <w:t xml:space="preserve">a notice published in a newspaper be published once in each of two consecutive weeks. </w:t>
            </w:r>
          </w:p>
          <w:p w14:paraId="5804928E" w14:textId="77777777" w:rsidR="00303C3E" w:rsidRDefault="00303C3E" w:rsidP="00AA744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54F1184" w14:textId="72BE4550" w:rsidR="00303C3E" w:rsidRDefault="00882B4B" w:rsidP="00AA744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14740">
              <w:t>H.B. 2574</w:t>
            </w:r>
            <w:r w:rsidR="00FB5D53">
              <w:t xml:space="preserve"> incorporates these alternative notice</w:t>
            </w:r>
            <w:r w:rsidR="000A087D">
              <w:t xml:space="preserve"> options into</w:t>
            </w:r>
            <w:r w:rsidR="00FB5D53">
              <w:t xml:space="preserve"> procedures for the seizure and sale of the property</w:t>
            </w:r>
            <w:r w:rsidR="000A087D">
              <w:t xml:space="preserve"> accordingly and, with respect to notice given in a commercially reasonable manner, </w:t>
            </w:r>
            <w:r w:rsidRPr="00303C3E">
              <w:t>prohibits the lessor from selling the</w:t>
            </w:r>
            <w:r w:rsidR="000A087D">
              <w:t xml:space="preserve"> tenant's</w:t>
            </w:r>
            <w:r w:rsidRPr="00303C3E">
              <w:t xml:space="preserve"> property</w:t>
            </w:r>
            <w:r w:rsidR="000A087D">
              <w:t xml:space="preserve"> </w:t>
            </w:r>
            <w:r w:rsidRPr="00303C3E">
              <w:t>until</w:t>
            </w:r>
            <w:r>
              <w:t xml:space="preserve"> </w:t>
            </w:r>
            <w:r w:rsidRPr="00303C3E">
              <w:t xml:space="preserve">the 10th day after the date the notice advertising the sale </w:t>
            </w:r>
            <w:r w:rsidR="007F5E55" w:rsidRPr="007F5E55">
              <w:t>is given.</w:t>
            </w:r>
            <w:r w:rsidR="007F5E55">
              <w:t xml:space="preserve"> </w:t>
            </w:r>
            <w:r w:rsidRPr="00303C3E">
              <w:t xml:space="preserve">For purposes of </w:t>
            </w:r>
            <w:r w:rsidR="00FC15C2">
              <w:t>advertising the sale</w:t>
            </w:r>
            <w:r w:rsidRPr="00303C3E">
              <w:t>, notice</w:t>
            </w:r>
            <w:r w:rsidRPr="00303C3E">
              <w:t xml:space="preserve"> is considered to be given in a commercially reasonable manner</w:t>
            </w:r>
            <w:r w:rsidR="00BB7004">
              <w:t xml:space="preserve"> </w:t>
            </w:r>
            <w:r w:rsidRPr="00303C3E">
              <w:t xml:space="preserve">if at least three independent bidders register for, view, or attend the sale, regardless of whether the sale is conducted at the self-service storage facility or a reasonably near public place </w:t>
            </w:r>
            <w:r w:rsidRPr="00303C3E">
              <w:t>or through a</w:t>
            </w:r>
            <w:r w:rsidR="009B32B9">
              <w:t xml:space="preserve"> publicly accessible </w:t>
            </w:r>
            <w:r w:rsidRPr="00303C3E">
              <w:t>website</w:t>
            </w:r>
            <w:r w:rsidR="00CF3EEA" w:rsidRPr="00303C3E">
              <w:t xml:space="preserve">. </w:t>
            </w:r>
          </w:p>
          <w:p w14:paraId="4DDC8EC5" w14:textId="77777777" w:rsidR="00303C3E" w:rsidRDefault="00303C3E" w:rsidP="00AA744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D9B3D23" w14:textId="6C1A5B12" w:rsidR="00714740" w:rsidRPr="009C36CD" w:rsidRDefault="00882B4B" w:rsidP="00AA744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14740">
              <w:t>H.B. 2574</w:t>
            </w:r>
            <w:r>
              <w:t xml:space="preserve"> </w:t>
            </w:r>
            <w:r w:rsidRPr="00714740">
              <w:t>appl</w:t>
            </w:r>
            <w:r>
              <w:t>ies</w:t>
            </w:r>
            <w:r w:rsidRPr="00714740">
              <w:t xml:space="preserve"> only to a self-service storage facility rental agreement entered into, extended, or renewed on or after the</w:t>
            </w:r>
            <w:r>
              <w:t xml:space="preserve"> bill's</w:t>
            </w:r>
            <w:r w:rsidRPr="00714740">
              <w:t xml:space="preserve"> effective date</w:t>
            </w:r>
            <w:r>
              <w:t>.</w:t>
            </w:r>
          </w:p>
          <w:p w14:paraId="42AE4F1C" w14:textId="77777777" w:rsidR="008423E4" w:rsidRPr="00835628" w:rsidRDefault="008423E4" w:rsidP="00AA7444">
            <w:pPr>
              <w:rPr>
                <w:b/>
              </w:rPr>
            </w:pPr>
          </w:p>
        </w:tc>
      </w:tr>
      <w:tr w:rsidR="0055235A" w14:paraId="4816D73C" w14:textId="77777777" w:rsidTr="00345119">
        <w:tc>
          <w:tcPr>
            <w:tcW w:w="9576" w:type="dxa"/>
          </w:tcPr>
          <w:p w14:paraId="74246889" w14:textId="77777777" w:rsidR="008423E4" w:rsidRPr="00A8133F" w:rsidRDefault="00882B4B" w:rsidP="00AA7444">
            <w:pPr>
              <w:keepNext/>
              <w:keepLines/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3CB41E3" w14:textId="77777777" w:rsidR="008423E4" w:rsidRDefault="008423E4" w:rsidP="00AA7444">
            <w:pPr>
              <w:keepNext/>
              <w:keepLines/>
            </w:pPr>
          </w:p>
          <w:p w14:paraId="17AB6D85" w14:textId="1BD1F72B" w:rsidR="008423E4" w:rsidRPr="003624F2" w:rsidRDefault="00882B4B" w:rsidP="00AA7444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69548CE" w14:textId="77777777" w:rsidR="008423E4" w:rsidRPr="00233FDB" w:rsidRDefault="008423E4" w:rsidP="00AA7444">
            <w:pPr>
              <w:rPr>
                <w:b/>
              </w:rPr>
            </w:pPr>
          </w:p>
        </w:tc>
      </w:tr>
    </w:tbl>
    <w:p w14:paraId="2F4BEED1" w14:textId="77777777" w:rsidR="008423E4" w:rsidRPr="00BE0E75" w:rsidRDefault="008423E4" w:rsidP="00AA7444">
      <w:pPr>
        <w:jc w:val="both"/>
        <w:rPr>
          <w:rFonts w:ascii="Arial" w:hAnsi="Arial"/>
          <w:sz w:val="16"/>
          <w:szCs w:val="16"/>
        </w:rPr>
      </w:pPr>
    </w:p>
    <w:p w14:paraId="0F158F7C" w14:textId="77777777" w:rsidR="004108C3" w:rsidRPr="008423E4" w:rsidRDefault="004108C3" w:rsidP="00AA744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A733E" w14:textId="77777777" w:rsidR="00000000" w:rsidRDefault="00882B4B">
      <w:r>
        <w:separator/>
      </w:r>
    </w:p>
  </w:endnote>
  <w:endnote w:type="continuationSeparator" w:id="0">
    <w:p w14:paraId="7E7F558E" w14:textId="77777777" w:rsidR="00000000" w:rsidRDefault="0088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366A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5235A" w14:paraId="655DD43A" w14:textId="77777777" w:rsidTr="009C1E9A">
      <w:trPr>
        <w:cantSplit/>
      </w:trPr>
      <w:tc>
        <w:tcPr>
          <w:tcW w:w="0" w:type="pct"/>
        </w:tcPr>
        <w:p w14:paraId="68E8AFE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1B1AE4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876ABF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BAFC69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1639BD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5235A" w14:paraId="6ACC2C90" w14:textId="77777777" w:rsidTr="009C1E9A">
      <w:trPr>
        <w:cantSplit/>
      </w:trPr>
      <w:tc>
        <w:tcPr>
          <w:tcW w:w="0" w:type="pct"/>
        </w:tcPr>
        <w:p w14:paraId="5BA3A87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08291AE" w14:textId="1651AAEE" w:rsidR="00EC379B" w:rsidRPr="009C1E9A" w:rsidRDefault="00882B4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20704-D</w:t>
          </w:r>
        </w:p>
      </w:tc>
      <w:tc>
        <w:tcPr>
          <w:tcW w:w="2453" w:type="pct"/>
        </w:tcPr>
        <w:p w14:paraId="1C1B9FBF" w14:textId="7D8FB191" w:rsidR="00EC379B" w:rsidRDefault="00882B4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B0A3A">
            <w:t>23.88.102</w:t>
          </w:r>
          <w:r>
            <w:fldChar w:fldCharType="end"/>
          </w:r>
        </w:p>
      </w:tc>
    </w:tr>
    <w:tr w:rsidR="0055235A" w14:paraId="49E61676" w14:textId="77777777" w:rsidTr="009C1E9A">
      <w:trPr>
        <w:cantSplit/>
      </w:trPr>
      <w:tc>
        <w:tcPr>
          <w:tcW w:w="0" w:type="pct"/>
        </w:tcPr>
        <w:p w14:paraId="35D689C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2703558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5BB1E3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68365D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5235A" w14:paraId="6D38E78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AF8794C" w14:textId="77777777" w:rsidR="00EC379B" w:rsidRDefault="00882B4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952169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B1830D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7C39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A6F02" w14:textId="77777777" w:rsidR="00000000" w:rsidRDefault="00882B4B">
      <w:r>
        <w:separator/>
      </w:r>
    </w:p>
  </w:footnote>
  <w:footnote w:type="continuationSeparator" w:id="0">
    <w:p w14:paraId="233A7A1B" w14:textId="77777777" w:rsidR="00000000" w:rsidRDefault="00882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2B0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575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AE30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260"/>
    <w:multiLevelType w:val="hybridMultilevel"/>
    <w:tmpl w:val="222EBB76"/>
    <w:lvl w:ilvl="0" w:tplc="D0BEB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52CD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BCD3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29A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C2D0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18F4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E89A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201D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2EC6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81D01"/>
    <w:multiLevelType w:val="hybridMultilevel"/>
    <w:tmpl w:val="AF2A4AB8"/>
    <w:lvl w:ilvl="0" w:tplc="761214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BEE2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F4F3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E3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2C7F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A47A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2AAC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CC88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5069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D8"/>
    <w:rsid w:val="00000A70"/>
    <w:rsid w:val="000032B8"/>
    <w:rsid w:val="00003B06"/>
    <w:rsid w:val="000054B9"/>
    <w:rsid w:val="00007461"/>
    <w:rsid w:val="0001117E"/>
    <w:rsid w:val="0001125F"/>
    <w:rsid w:val="00011F39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350B"/>
    <w:rsid w:val="00097AAF"/>
    <w:rsid w:val="00097D13"/>
    <w:rsid w:val="000A087D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16DD3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6AA"/>
    <w:rsid w:val="00141FB6"/>
    <w:rsid w:val="00142F8E"/>
    <w:rsid w:val="00143C8B"/>
    <w:rsid w:val="00147530"/>
    <w:rsid w:val="00150668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2752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2415"/>
    <w:rsid w:val="002C3203"/>
    <w:rsid w:val="002C3B07"/>
    <w:rsid w:val="002C532B"/>
    <w:rsid w:val="002C5713"/>
    <w:rsid w:val="002D05CC"/>
    <w:rsid w:val="002D305A"/>
    <w:rsid w:val="002E0F03"/>
    <w:rsid w:val="002E21B8"/>
    <w:rsid w:val="002E7DF9"/>
    <w:rsid w:val="002F07DB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3C3E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5884"/>
    <w:rsid w:val="00492211"/>
    <w:rsid w:val="00492325"/>
    <w:rsid w:val="00492A6D"/>
    <w:rsid w:val="00494303"/>
    <w:rsid w:val="004955A4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3ECF"/>
    <w:rsid w:val="00545548"/>
    <w:rsid w:val="00546923"/>
    <w:rsid w:val="00551CA6"/>
    <w:rsid w:val="0055235A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42A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370"/>
    <w:rsid w:val="00711E3D"/>
    <w:rsid w:val="00711E85"/>
    <w:rsid w:val="00712DDA"/>
    <w:rsid w:val="00714740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5704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5E55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55A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0776"/>
    <w:rsid w:val="008826F2"/>
    <w:rsid w:val="00882B4B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2CD4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48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2CC3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2B9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5FA4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51B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444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590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95B"/>
    <w:rsid w:val="00B95BC8"/>
    <w:rsid w:val="00B96E87"/>
    <w:rsid w:val="00BA146A"/>
    <w:rsid w:val="00BA32EE"/>
    <w:rsid w:val="00BB5B36"/>
    <w:rsid w:val="00BB7004"/>
    <w:rsid w:val="00BC027B"/>
    <w:rsid w:val="00BC30A6"/>
    <w:rsid w:val="00BC3ED3"/>
    <w:rsid w:val="00BC3EF6"/>
    <w:rsid w:val="00BC4E34"/>
    <w:rsid w:val="00BC51D0"/>
    <w:rsid w:val="00BC52E0"/>
    <w:rsid w:val="00BC5633"/>
    <w:rsid w:val="00BC58E1"/>
    <w:rsid w:val="00BC59CA"/>
    <w:rsid w:val="00BC6462"/>
    <w:rsid w:val="00BD0A32"/>
    <w:rsid w:val="00BD4D61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42C8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1D0D"/>
    <w:rsid w:val="00CA2182"/>
    <w:rsid w:val="00CA2186"/>
    <w:rsid w:val="00CA26EF"/>
    <w:rsid w:val="00CA3608"/>
    <w:rsid w:val="00CA4CA0"/>
    <w:rsid w:val="00CA5E5E"/>
    <w:rsid w:val="00CA7D7B"/>
    <w:rsid w:val="00CB0131"/>
    <w:rsid w:val="00CB0A3A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6952"/>
    <w:rsid w:val="00CD731C"/>
    <w:rsid w:val="00CE08E8"/>
    <w:rsid w:val="00CE2133"/>
    <w:rsid w:val="00CE245D"/>
    <w:rsid w:val="00CE300F"/>
    <w:rsid w:val="00CE3582"/>
    <w:rsid w:val="00CE3795"/>
    <w:rsid w:val="00CE3E20"/>
    <w:rsid w:val="00CF3EEA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570BC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0362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5FFF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5797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43D8"/>
    <w:rsid w:val="00F96602"/>
    <w:rsid w:val="00F9735A"/>
    <w:rsid w:val="00FA32FC"/>
    <w:rsid w:val="00FA59FD"/>
    <w:rsid w:val="00FA5D8C"/>
    <w:rsid w:val="00FA6403"/>
    <w:rsid w:val="00FB16CD"/>
    <w:rsid w:val="00FB5D53"/>
    <w:rsid w:val="00FB73AE"/>
    <w:rsid w:val="00FC15C2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61D673-B154-4CCB-BDDF-9549CC6A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1474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147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1474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47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4740"/>
    <w:rPr>
      <w:b/>
      <w:bCs/>
    </w:rPr>
  </w:style>
  <w:style w:type="paragraph" w:styleId="ListParagraph">
    <w:name w:val="List Paragraph"/>
    <w:basedOn w:val="Normal"/>
    <w:uiPriority w:val="34"/>
    <w:qFormat/>
    <w:rsid w:val="007F5E55"/>
    <w:pPr>
      <w:ind w:left="720"/>
      <w:contextualSpacing/>
    </w:pPr>
  </w:style>
  <w:style w:type="paragraph" w:styleId="Revision">
    <w:name w:val="Revision"/>
    <w:hidden/>
    <w:uiPriority w:val="99"/>
    <w:semiHidden/>
    <w:rsid w:val="00BD4D61"/>
    <w:rPr>
      <w:sz w:val="24"/>
      <w:szCs w:val="24"/>
    </w:rPr>
  </w:style>
  <w:style w:type="character" w:styleId="Hyperlink">
    <w:name w:val="Hyperlink"/>
    <w:basedOn w:val="DefaultParagraphFont"/>
    <w:unhideWhenUsed/>
    <w:rsid w:val="005C442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4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2334</Characters>
  <Application>Microsoft Office Word</Application>
  <DocSecurity>4</DocSecurity>
  <Lines>60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HB02574 (Committee Report (Unamended))</vt:lpstr>
    </vt:vector>
  </TitlesOfParts>
  <Company>State of Texas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20704</dc:subject>
  <dc:creator>State of Texas</dc:creator>
  <dc:description>HB 2574 by Lambert-(H)Business &amp; Industry</dc:description>
  <cp:lastModifiedBy>Damian Duarte</cp:lastModifiedBy>
  <cp:revision>2</cp:revision>
  <cp:lastPrinted>2003-11-26T17:21:00Z</cp:lastPrinted>
  <dcterms:created xsi:type="dcterms:W3CDTF">2023-04-10T14:17:00Z</dcterms:created>
  <dcterms:modified xsi:type="dcterms:W3CDTF">2023-04-10T14:17:00Z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23.88.102</vt:lpwstr>
  </property>
</Properties>
</file>