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F4EC6" w14:paraId="19328928" w14:textId="77777777" w:rsidTr="00345119">
        <w:tc>
          <w:tcPr>
            <w:tcW w:w="9576" w:type="dxa"/>
            <w:noWrap/>
          </w:tcPr>
          <w:p w14:paraId="4BC9D664" w14:textId="77777777" w:rsidR="008423E4" w:rsidRPr="0022177D" w:rsidRDefault="00296F98" w:rsidP="006970D6">
            <w:pPr>
              <w:pStyle w:val="Heading1"/>
            </w:pPr>
            <w:r w:rsidRPr="00631897">
              <w:t>BILL ANALYSIS</w:t>
            </w:r>
          </w:p>
        </w:tc>
      </w:tr>
    </w:tbl>
    <w:p w14:paraId="42C47A4E" w14:textId="77777777" w:rsidR="008423E4" w:rsidRPr="0022177D" w:rsidRDefault="008423E4" w:rsidP="006970D6">
      <w:pPr>
        <w:jc w:val="center"/>
      </w:pPr>
    </w:p>
    <w:p w14:paraId="0694D3B6" w14:textId="77777777" w:rsidR="008423E4" w:rsidRPr="00B31F0E" w:rsidRDefault="008423E4" w:rsidP="006970D6"/>
    <w:p w14:paraId="168AAAA3" w14:textId="77777777" w:rsidR="008423E4" w:rsidRPr="00742794" w:rsidRDefault="008423E4" w:rsidP="006970D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F4EC6" w14:paraId="63804991" w14:textId="77777777" w:rsidTr="00345119">
        <w:tc>
          <w:tcPr>
            <w:tcW w:w="9576" w:type="dxa"/>
          </w:tcPr>
          <w:p w14:paraId="60C0E78F" w14:textId="67F9B7DF" w:rsidR="008423E4" w:rsidRPr="00861995" w:rsidRDefault="00296F98" w:rsidP="006970D6">
            <w:pPr>
              <w:jc w:val="right"/>
            </w:pPr>
            <w:r>
              <w:t>H.B. 2603</w:t>
            </w:r>
          </w:p>
        </w:tc>
      </w:tr>
      <w:tr w:rsidR="008F4EC6" w14:paraId="654F4E3C" w14:textId="77777777" w:rsidTr="00345119">
        <w:tc>
          <w:tcPr>
            <w:tcW w:w="9576" w:type="dxa"/>
          </w:tcPr>
          <w:p w14:paraId="4B9319BD" w14:textId="69FD9160" w:rsidR="008423E4" w:rsidRPr="00861995" w:rsidRDefault="00296F98" w:rsidP="006970D6">
            <w:pPr>
              <w:jc w:val="right"/>
            </w:pPr>
            <w:r>
              <w:t xml:space="preserve">By: </w:t>
            </w:r>
            <w:r w:rsidR="00664C1F">
              <w:t>Hull</w:t>
            </w:r>
          </w:p>
        </w:tc>
      </w:tr>
      <w:tr w:rsidR="008F4EC6" w14:paraId="7DACCBC8" w14:textId="77777777" w:rsidTr="00345119">
        <w:tc>
          <w:tcPr>
            <w:tcW w:w="9576" w:type="dxa"/>
          </w:tcPr>
          <w:p w14:paraId="2E794730" w14:textId="0BAB497E" w:rsidR="008423E4" w:rsidRPr="00861995" w:rsidRDefault="00296F98" w:rsidP="006970D6">
            <w:pPr>
              <w:jc w:val="right"/>
            </w:pPr>
            <w:r>
              <w:t>Criminal Jurisprudence</w:t>
            </w:r>
          </w:p>
        </w:tc>
      </w:tr>
      <w:tr w:rsidR="008F4EC6" w14:paraId="10324D15" w14:textId="77777777" w:rsidTr="00345119">
        <w:tc>
          <w:tcPr>
            <w:tcW w:w="9576" w:type="dxa"/>
          </w:tcPr>
          <w:p w14:paraId="6912C591" w14:textId="4CBE8E44" w:rsidR="008423E4" w:rsidRDefault="00296F98" w:rsidP="006970D6">
            <w:pPr>
              <w:jc w:val="right"/>
            </w:pPr>
            <w:r>
              <w:t>Committee Report (Unamended)</w:t>
            </w:r>
          </w:p>
        </w:tc>
      </w:tr>
    </w:tbl>
    <w:p w14:paraId="74C3C657" w14:textId="77777777" w:rsidR="008423E4" w:rsidRDefault="008423E4" w:rsidP="006970D6">
      <w:pPr>
        <w:tabs>
          <w:tab w:val="right" w:pos="9360"/>
        </w:tabs>
      </w:pPr>
    </w:p>
    <w:p w14:paraId="159CDBCA" w14:textId="77777777" w:rsidR="008423E4" w:rsidRDefault="008423E4" w:rsidP="006970D6"/>
    <w:p w14:paraId="3DA88250" w14:textId="77777777" w:rsidR="008423E4" w:rsidRDefault="008423E4" w:rsidP="006970D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F4EC6" w14:paraId="7C25B457" w14:textId="77777777" w:rsidTr="00345119">
        <w:tc>
          <w:tcPr>
            <w:tcW w:w="9576" w:type="dxa"/>
          </w:tcPr>
          <w:p w14:paraId="049C1E2B" w14:textId="77777777" w:rsidR="008423E4" w:rsidRPr="00A8133F" w:rsidRDefault="00296F98" w:rsidP="006970D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43E08B2" w14:textId="77777777" w:rsidR="008423E4" w:rsidRDefault="008423E4" w:rsidP="006970D6"/>
          <w:p w14:paraId="0AE093E5" w14:textId="4CA1FD83" w:rsidR="008423E4" w:rsidRDefault="00296F98" w:rsidP="006970D6">
            <w:pPr>
              <w:tabs>
                <w:tab w:val="left" w:pos="1695"/>
              </w:tabs>
              <w:jc w:val="both"/>
            </w:pPr>
            <w:r w:rsidRPr="007D7654">
              <w:t>Last session, the 87th Legislature passed H</w:t>
            </w:r>
            <w:r w:rsidR="006774CF">
              <w:t>.</w:t>
            </w:r>
            <w:r w:rsidRPr="007D7654">
              <w:t>B</w:t>
            </w:r>
            <w:r w:rsidR="006774CF">
              <w:t>.</w:t>
            </w:r>
            <w:r w:rsidRPr="007D7654">
              <w:t xml:space="preserve"> 1540 by Rep. Senfronia Thompson that </w:t>
            </w:r>
            <w:r w:rsidR="002D6851">
              <w:t xml:space="preserve">enhanced a trafficking of persons offense to a first degree felony if </w:t>
            </w:r>
            <w:r w:rsidRPr="007D7654">
              <w:t>the offense occur</w:t>
            </w:r>
            <w:r w:rsidR="00E54FFA">
              <w:t>s</w:t>
            </w:r>
            <w:r w:rsidRPr="007D7654">
              <w:t xml:space="preserve"> </w:t>
            </w:r>
            <w:r w:rsidR="001860C0">
              <w:t xml:space="preserve">in a location that was on the premises of or </w:t>
            </w:r>
            <w:r w:rsidRPr="007D7654">
              <w:t xml:space="preserve">within 1,000 feet of the </w:t>
            </w:r>
            <w:r w:rsidR="001860C0">
              <w:t>premises of</w:t>
            </w:r>
            <w:r w:rsidRPr="007D7654">
              <w:t xml:space="preserve"> a school or </w:t>
            </w:r>
            <w:r w:rsidR="001860C0">
              <w:t xml:space="preserve">on the premises or within 1,000 feet of premises </w:t>
            </w:r>
            <w:r w:rsidRPr="007D7654">
              <w:t>where a</w:t>
            </w:r>
            <w:r w:rsidR="001860C0">
              <w:t>n official</w:t>
            </w:r>
            <w:r w:rsidRPr="007D7654">
              <w:t xml:space="preserve"> school</w:t>
            </w:r>
            <w:r w:rsidRPr="007D7654">
              <w:t xml:space="preserve"> function </w:t>
            </w:r>
            <w:r w:rsidR="001860C0">
              <w:t>was taking place or where an event sponsored or sanctioned by the UIL was taking</w:t>
            </w:r>
            <w:r w:rsidRPr="007D7654">
              <w:t xml:space="preserve"> place</w:t>
            </w:r>
            <w:r w:rsidR="002D6851">
              <w:t xml:space="preserve"> and made it </w:t>
            </w:r>
            <w:r w:rsidRPr="007D7654">
              <w:t>punishable by imprisonment for a term not less than 25 years. In</w:t>
            </w:r>
            <w:r w:rsidR="002D6851">
              <w:t xml:space="preserve"> the interests of further</w:t>
            </w:r>
            <w:r w:rsidRPr="007D7654">
              <w:t xml:space="preserve"> protecting children from trafficking, this same penalty s</w:t>
            </w:r>
            <w:r w:rsidRPr="007D7654">
              <w:t xml:space="preserve">hould be applied to </w:t>
            </w:r>
            <w:r w:rsidR="00E54FFA">
              <w:t xml:space="preserve">trafficking of persons </w:t>
            </w:r>
            <w:r w:rsidRPr="007D7654">
              <w:t>offenses committed at other locations that are known targets for child traffickers, particularly those that serve our most vulnerable youth.</w:t>
            </w:r>
            <w:r>
              <w:t xml:space="preserve"> </w:t>
            </w:r>
            <w:r w:rsidRPr="007D7654">
              <w:t>H</w:t>
            </w:r>
            <w:r w:rsidR="006774CF">
              <w:t>.</w:t>
            </w:r>
            <w:r w:rsidRPr="007D7654">
              <w:t>B</w:t>
            </w:r>
            <w:r w:rsidR="006774CF">
              <w:t>.</w:t>
            </w:r>
            <w:r w:rsidRPr="007D7654">
              <w:t xml:space="preserve"> 2603 seeks to extend this enhanced penalty to trafficking </w:t>
            </w:r>
            <w:r w:rsidR="00E54FFA">
              <w:t xml:space="preserve">of persons </w:t>
            </w:r>
            <w:r w:rsidRPr="007D7654">
              <w:t>offenses</w:t>
            </w:r>
            <w:r w:rsidR="00E54FFA">
              <w:t xml:space="preserve"> that are</w:t>
            </w:r>
            <w:r w:rsidRPr="007D7654">
              <w:t xml:space="preserve"> committed within 1,000 feet of a </w:t>
            </w:r>
            <w:r w:rsidR="00E54FFA" w:rsidRPr="00E54FFA">
              <w:rPr>
                <w:bCs/>
              </w:rPr>
              <w:t>juvenile detention facility</w:t>
            </w:r>
            <w:r w:rsidR="00E54FFA">
              <w:rPr>
                <w:bCs/>
              </w:rPr>
              <w:t xml:space="preserve">, </w:t>
            </w:r>
            <w:r w:rsidR="00E54FFA" w:rsidRPr="00E54FFA">
              <w:rPr>
                <w:bCs/>
              </w:rPr>
              <w:t>a post-adjudication secure correctional facility</w:t>
            </w:r>
            <w:r w:rsidR="00E54FFA">
              <w:rPr>
                <w:bCs/>
              </w:rPr>
              <w:t>,</w:t>
            </w:r>
            <w:r w:rsidR="00E54FFA" w:rsidRPr="00E54FFA">
              <w:rPr>
                <w:bCs/>
              </w:rPr>
              <w:t xml:space="preserve"> or</w:t>
            </w:r>
            <w:r w:rsidR="00E54FFA">
              <w:rPr>
                <w:bCs/>
              </w:rPr>
              <w:t xml:space="preserve"> </w:t>
            </w:r>
            <w:r w:rsidR="00E54FFA" w:rsidRPr="003F511E">
              <w:rPr>
                <w:bCs/>
              </w:rPr>
              <w:t xml:space="preserve">a </w:t>
            </w:r>
            <w:r w:rsidR="00E54FFA">
              <w:rPr>
                <w:bCs/>
              </w:rPr>
              <w:t xml:space="preserve">state-licensed or certified </w:t>
            </w:r>
            <w:r w:rsidR="00E54FFA" w:rsidRPr="003F511E">
              <w:rPr>
                <w:bCs/>
              </w:rPr>
              <w:t>residential child-care facility</w:t>
            </w:r>
            <w:r w:rsidR="00E54FFA">
              <w:rPr>
                <w:bCs/>
              </w:rPr>
              <w:t xml:space="preserve"> that operates for all of the 24-hour day, including </w:t>
            </w:r>
            <w:r w:rsidR="00E54FFA" w:rsidRPr="00473C4C">
              <w:rPr>
                <w:bCs/>
              </w:rPr>
              <w:t>general residential operations, child-placing agencies, specialized child-care homes, cottage home operations, continuum-of-care residential operations, and agency foster homes</w:t>
            </w:r>
            <w:r w:rsidR="00E54FFA">
              <w:rPr>
                <w:bCs/>
              </w:rPr>
              <w:t>.</w:t>
            </w:r>
          </w:p>
          <w:p w14:paraId="64967C26" w14:textId="77777777" w:rsidR="008423E4" w:rsidRPr="00E26B13" w:rsidRDefault="008423E4" w:rsidP="006970D6">
            <w:pPr>
              <w:rPr>
                <w:b/>
              </w:rPr>
            </w:pPr>
          </w:p>
        </w:tc>
      </w:tr>
      <w:tr w:rsidR="008F4EC6" w14:paraId="32F6EE21" w14:textId="77777777" w:rsidTr="00345119">
        <w:tc>
          <w:tcPr>
            <w:tcW w:w="9576" w:type="dxa"/>
          </w:tcPr>
          <w:p w14:paraId="4D845515" w14:textId="77777777" w:rsidR="0017725B" w:rsidRDefault="00296F98" w:rsidP="006970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C0DA9F" w14:textId="77777777" w:rsidR="0017725B" w:rsidRDefault="0017725B" w:rsidP="006970D6">
            <w:pPr>
              <w:rPr>
                <w:b/>
                <w:u w:val="single"/>
              </w:rPr>
            </w:pPr>
          </w:p>
          <w:p w14:paraId="48AC9E60" w14:textId="217D41B1" w:rsidR="002F3E14" w:rsidRPr="00745278" w:rsidRDefault="00296F98" w:rsidP="006970D6">
            <w:pPr>
              <w:jc w:val="both"/>
            </w:pPr>
            <w:r>
              <w:t xml:space="preserve">It is the committee's opinion that this bill expressly does one or more of the following: creates a criminal offense, increases the punishment for an existing criminal offense or category of offenses, or changes the eligibility of a person for community </w:t>
            </w:r>
            <w:r>
              <w:t>supervision, parole, or mandatory supervision.</w:t>
            </w:r>
          </w:p>
          <w:p w14:paraId="33111F9F" w14:textId="77777777" w:rsidR="0017725B" w:rsidRPr="0017725B" w:rsidRDefault="0017725B" w:rsidP="006970D6">
            <w:pPr>
              <w:rPr>
                <w:b/>
                <w:u w:val="single"/>
              </w:rPr>
            </w:pPr>
          </w:p>
        </w:tc>
      </w:tr>
      <w:tr w:rsidR="008F4EC6" w14:paraId="322A0B89" w14:textId="77777777" w:rsidTr="00345119">
        <w:tc>
          <w:tcPr>
            <w:tcW w:w="9576" w:type="dxa"/>
          </w:tcPr>
          <w:p w14:paraId="461A39E3" w14:textId="77777777" w:rsidR="008423E4" w:rsidRPr="00A8133F" w:rsidRDefault="00296F98" w:rsidP="006970D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2B8165" w14:textId="77777777" w:rsidR="008423E4" w:rsidRDefault="008423E4" w:rsidP="006970D6"/>
          <w:p w14:paraId="7F2A3C64" w14:textId="125BB50D" w:rsidR="00EC45D8" w:rsidRDefault="00296F98" w:rsidP="00697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C40EF53" w14:textId="77777777" w:rsidR="008423E4" w:rsidRPr="00E21FDC" w:rsidRDefault="008423E4" w:rsidP="006970D6">
            <w:pPr>
              <w:rPr>
                <w:b/>
              </w:rPr>
            </w:pPr>
          </w:p>
        </w:tc>
      </w:tr>
      <w:tr w:rsidR="008F4EC6" w14:paraId="09346EF5" w14:textId="77777777" w:rsidTr="00345119">
        <w:tc>
          <w:tcPr>
            <w:tcW w:w="9576" w:type="dxa"/>
          </w:tcPr>
          <w:p w14:paraId="29E04386" w14:textId="090E3209" w:rsidR="00AB4116" w:rsidRDefault="00296F98" w:rsidP="006970D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0A2430A" w14:textId="6BF279D9" w:rsidR="00AB4116" w:rsidRDefault="00AB4116" w:rsidP="006970D6">
            <w:pPr>
              <w:rPr>
                <w:b/>
              </w:rPr>
            </w:pPr>
          </w:p>
          <w:p w14:paraId="253EF819" w14:textId="1A1AEBCA" w:rsidR="00AB4116" w:rsidRDefault="00296F98" w:rsidP="006970D6">
            <w:pPr>
              <w:jc w:val="both"/>
              <w:rPr>
                <w:bCs/>
              </w:rPr>
            </w:pPr>
            <w:r>
              <w:rPr>
                <w:bCs/>
              </w:rPr>
              <w:t xml:space="preserve">H.B. 2603 amends the Penal Code to include the following </w:t>
            </w:r>
            <w:r w:rsidR="003F511E">
              <w:rPr>
                <w:bCs/>
              </w:rPr>
              <w:t xml:space="preserve">among the premises </w:t>
            </w:r>
            <w:r w:rsidR="007C6DB7">
              <w:rPr>
                <w:bCs/>
              </w:rPr>
              <w:t xml:space="preserve">on or within 1,000 feet of which committing </w:t>
            </w:r>
            <w:r w:rsidR="00473C4C">
              <w:rPr>
                <w:bCs/>
              </w:rPr>
              <w:t>a</w:t>
            </w:r>
            <w:r>
              <w:rPr>
                <w:bCs/>
              </w:rPr>
              <w:t xml:space="preserve"> trafficking of persons </w:t>
            </w:r>
            <w:r w:rsidR="00473C4C">
              <w:rPr>
                <w:bCs/>
              </w:rPr>
              <w:t xml:space="preserve">offense </w:t>
            </w:r>
            <w:r w:rsidR="002F3E14">
              <w:rPr>
                <w:bCs/>
              </w:rPr>
              <w:t xml:space="preserve">results in </w:t>
            </w:r>
            <w:r w:rsidR="00075CD1">
              <w:rPr>
                <w:bCs/>
              </w:rPr>
              <w:t>the penalty</w:t>
            </w:r>
            <w:r w:rsidR="002F3E14">
              <w:rPr>
                <w:bCs/>
              </w:rPr>
              <w:t xml:space="preserve"> being enhanced</w:t>
            </w:r>
            <w:r w:rsidR="00075CD1">
              <w:rPr>
                <w:bCs/>
              </w:rPr>
              <w:t xml:space="preserve"> </w:t>
            </w:r>
            <w:r w:rsidR="003F511E">
              <w:rPr>
                <w:bCs/>
              </w:rPr>
              <w:t xml:space="preserve">to a </w:t>
            </w:r>
            <w:r w:rsidR="00075CD1">
              <w:rPr>
                <w:bCs/>
              </w:rPr>
              <w:t xml:space="preserve">first degree </w:t>
            </w:r>
            <w:r w:rsidR="003F511E">
              <w:rPr>
                <w:bCs/>
              </w:rPr>
              <w:t xml:space="preserve">felony </w:t>
            </w:r>
            <w:r w:rsidR="00075CD1">
              <w:rPr>
                <w:bCs/>
              </w:rPr>
              <w:t>punishable by imprisonment in the Texas Department of Criminal Justice for life or for a term of not more than 99 years or less than 25 years</w:t>
            </w:r>
            <w:r w:rsidR="003F511E">
              <w:rPr>
                <w:bCs/>
              </w:rPr>
              <w:t>:</w:t>
            </w:r>
          </w:p>
          <w:p w14:paraId="24B6576F" w14:textId="1A1D86D2" w:rsidR="003F511E" w:rsidRPr="003F511E" w:rsidRDefault="00296F98" w:rsidP="006970D6">
            <w:pPr>
              <w:pStyle w:val="ListParagraph"/>
              <w:numPr>
                <w:ilvl w:val="0"/>
                <w:numId w:val="1"/>
              </w:numPr>
              <w:tabs>
                <w:tab w:val="left" w:pos="1695"/>
              </w:tabs>
              <w:contextualSpacing w:val="0"/>
              <w:jc w:val="both"/>
              <w:rPr>
                <w:bCs/>
              </w:rPr>
            </w:pPr>
            <w:r w:rsidRPr="003F511E">
              <w:rPr>
                <w:bCs/>
              </w:rPr>
              <w:t>a juvenile detention facility;</w:t>
            </w:r>
          </w:p>
          <w:p w14:paraId="29D99A04" w14:textId="179A4B43" w:rsidR="003F511E" w:rsidRPr="003F511E" w:rsidRDefault="00296F98" w:rsidP="006970D6">
            <w:pPr>
              <w:pStyle w:val="ListParagraph"/>
              <w:numPr>
                <w:ilvl w:val="0"/>
                <w:numId w:val="1"/>
              </w:numPr>
              <w:tabs>
                <w:tab w:val="left" w:pos="1695"/>
              </w:tabs>
              <w:contextualSpacing w:val="0"/>
              <w:jc w:val="both"/>
              <w:rPr>
                <w:bCs/>
              </w:rPr>
            </w:pPr>
            <w:r w:rsidRPr="003F511E">
              <w:rPr>
                <w:bCs/>
              </w:rPr>
              <w:t>a post-adjudication secure correctional facility; or</w:t>
            </w:r>
          </w:p>
          <w:p w14:paraId="16634479" w14:textId="297E9D6C" w:rsidR="003F511E" w:rsidRDefault="00296F98" w:rsidP="006970D6">
            <w:pPr>
              <w:pStyle w:val="ListParagraph"/>
              <w:numPr>
                <w:ilvl w:val="0"/>
                <w:numId w:val="1"/>
              </w:numPr>
              <w:tabs>
                <w:tab w:val="left" w:pos="1695"/>
              </w:tabs>
              <w:contextualSpacing w:val="0"/>
              <w:jc w:val="both"/>
              <w:rPr>
                <w:bCs/>
              </w:rPr>
            </w:pPr>
            <w:r w:rsidRPr="003F511E">
              <w:rPr>
                <w:bCs/>
              </w:rPr>
              <w:t xml:space="preserve">a </w:t>
            </w:r>
            <w:r w:rsidR="00473C4C">
              <w:rPr>
                <w:bCs/>
              </w:rPr>
              <w:t xml:space="preserve">state-licensed or certified </w:t>
            </w:r>
            <w:r w:rsidRPr="003F511E">
              <w:rPr>
                <w:bCs/>
              </w:rPr>
              <w:t>residential child-care facility</w:t>
            </w:r>
            <w:r w:rsidR="00473C4C">
              <w:rPr>
                <w:bCs/>
              </w:rPr>
              <w:t xml:space="preserve"> that operates for all of the 24</w:t>
            </w:r>
            <w:r w:rsidR="00161910">
              <w:rPr>
                <w:bCs/>
              </w:rPr>
              <w:noBreakHyphen/>
            </w:r>
            <w:r w:rsidR="000F2275">
              <w:rPr>
                <w:bCs/>
              </w:rPr>
              <w:t xml:space="preserve">hour </w:t>
            </w:r>
            <w:r w:rsidR="00473C4C">
              <w:rPr>
                <w:bCs/>
              </w:rPr>
              <w:t xml:space="preserve">day, including </w:t>
            </w:r>
            <w:r w:rsidR="00473C4C" w:rsidRPr="00473C4C">
              <w:rPr>
                <w:bCs/>
              </w:rPr>
              <w:t>general residential operations, child-placing agencies, specialized child-care homes, cottage home operations, continuum-of-care residential operations, and agency foster homes</w:t>
            </w:r>
            <w:r>
              <w:rPr>
                <w:bCs/>
              </w:rPr>
              <w:t>.</w:t>
            </w:r>
          </w:p>
          <w:p w14:paraId="417F2D65" w14:textId="4A58FF40" w:rsidR="003F511E" w:rsidRDefault="003F511E" w:rsidP="006970D6">
            <w:pPr>
              <w:tabs>
                <w:tab w:val="left" w:pos="1695"/>
              </w:tabs>
              <w:jc w:val="both"/>
              <w:rPr>
                <w:bCs/>
              </w:rPr>
            </w:pPr>
          </w:p>
          <w:p w14:paraId="3F270A33" w14:textId="15D471DD" w:rsidR="00AB4116" w:rsidRDefault="00296F98" w:rsidP="006970D6">
            <w:pPr>
              <w:tabs>
                <w:tab w:val="left" w:pos="169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H.B. 2603 </w:t>
            </w:r>
            <w:r w:rsidR="00F02A82" w:rsidRPr="00F02A82">
              <w:rPr>
                <w:bCs/>
              </w:rPr>
              <w:t>applies only to an offense committed on or after the bill's effective date</w:t>
            </w:r>
            <w:r w:rsidR="00473C4C">
              <w:rPr>
                <w:bCs/>
              </w:rPr>
              <w:t xml:space="preserve"> and</w:t>
            </w:r>
            <w:r w:rsidR="00F02A82" w:rsidRPr="00F02A82">
              <w:rPr>
                <w:bCs/>
              </w:rPr>
              <w:t xml:space="preserve"> provides for the continuation of the law in effect before the bill's effective date for purposes of an offense, or any element thereof, that occurred before that date</w:t>
            </w:r>
            <w:r w:rsidR="00F02A82">
              <w:rPr>
                <w:bCs/>
              </w:rPr>
              <w:t xml:space="preserve">. </w:t>
            </w:r>
          </w:p>
          <w:p w14:paraId="6CBC2716" w14:textId="303367EF" w:rsidR="00AB4116" w:rsidRPr="00AB4116" w:rsidRDefault="00AB4116" w:rsidP="006970D6">
            <w:pPr>
              <w:jc w:val="both"/>
              <w:rPr>
                <w:bCs/>
              </w:rPr>
            </w:pPr>
          </w:p>
        </w:tc>
      </w:tr>
      <w:tr w:rsidR="008F4EC6" w14:paraId="0B231DF5" w14:textId="77777777" w:rsidTr="00345119">
        <w:tc>
          <w:tcPr>
            <w:tcW w:w="9576" w:type="dxa"/>
          </w:tcPr>
          <w:p w14:paraId="3B915923" w14:textId="77777777" w:rsidR="008423E4" w:rsidRPr="00A8133F" w:rsidRDefault="00296F98" w:rsidP="006970D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156D07" w14:textId="77777777" w:rsidR="008423E4" w:rsidRDefault="008423E4" w:rsidP="006970D6"/>
          <w:p w14:paraId="1B04932A" w14:textId="00556131" w:rsidR="008423E4" w:rsidRPr="003624F2" w:rsidRDefault="00296F98" w:rsidP="006970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</w:t>
            </w:r>
            <w:r>
              <w:t>tember 1, 2023.</w:t>
            </w:r>
          </w:p>
          <w:p w14:paraId="198E8222" w14:textId="77777777" w:rsidR="008423E4" w:rsidRPr="00233FDB" w:rsidRDefault="008423E4" w:rsidP="006970D6">
            <w:pPr>
              <w:rPr>
                <w:b/>
              </w:rPr>
            </w:pPr>
          </w:p>
        </w:tc>
      </w:tr>
    </w:tbl>
    <w:p w14:paraId="5D40FE0B" w14:textId="77777777" w:rsidR="008423E4" w:rsidRPr="00BE0E75" w:rsidRDefault="008423E4" w:rsidP="006970D6">
      <w:pPr>
        <w:jc w:val="both"/>
        <w:rPr>
          <w:rFonts w:ascii="Arial" w:hAnsi="Arial"/>
          <w:sz w:val="16"/>
          <w:szCs w:val="16"/>
        </w:rPr>
      </w:pPr>
    </w:p>
    <w:p w14:paraId="215ED51F" w14:textId="77777777" w:rsidR="004108C3" w:rsidRPr="008423E4" w:rsidRDefault="004108C3" w:rsidP="006970D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F789" w14:textId="77777777" w:rsidR="00000000" w:rsidRDefault="00296F98">
      <w:r>
        <w:separator/>
      </w:r>
    </w:p>
  </w:endnote>
  <w:endnote w:type="continuationSeparator" w:id="0">
    <w:p w14:paraId="71EE18BA" w14:textId="77777777" w:rsidR="00000000" w:rsidRDefault="0029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82A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F4EC6" w14:paraId="0420C8B6" w14:textId="77777777" w:rsidTr="009C1E9A">
      <w:trPr>
        <w:cantSplit/>
      </w:trPr>
      <w:tc>
        <w:tcPr>
          <w:tcW w:w="0" w:type="pct"/>
        </w:tcPr>
        <w:p w14:paraId="12ABCA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8F73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4F310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1965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5CF4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4EC6" w14:paraId="09C19C04" w14:textId="77777777" w:rsidTr="009C1E9A">
      <w:trPr>
        <w:cantSplit/>
      </w:trPr>
      <w:tc>
        <w:tcPr>
          <w:tcW w:w="0" w:type="pct"/>
        </w:tcPr>
        <w:p w14:paraId="78C09E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9C9A8D" w14:textId="6A692987" w:rsidR="00EC379B" w:rsidRPr="009C1E9A" w:rsidRDefault="00296F9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25864-D</w:t>
          </w:r>
        </w:p>
      </w:tc>
      <w:tc>
        <w:tcPr>
          <w:tcW w:w="2453" w:type="pct"/>
        </w:tcPr>
        <w:p w14:paraId="62E1C14D" w14:textId="4C817CCC" w:rsidR="00EC379B" w:rsidRDefault="00296F9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970D6">
            <w:t>23.116.1163</w:t>
          </w:r>
          <w:r>
            <w:fldChar w:fldCharType="end"/>
          </w:r>
        </w:p>
      </w:tc>
    </w:tr>
    <w:tr w:rsidR="008F4EC6" w14:paraId="0679D49C" w14:textId="77777777" w:rsidTr="009C1E9A">
      <w:trPr>
        <w:cantSplit/>
      </w:trPr>
      <w:tc>
        <w:tcPr>
          <w:tcW w:w="0" w:type="pct"/>
        </w:tcPr>
        <w:p w14:paraId="638AEE4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E4667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C3CF94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338B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4EC6" w14:paraId="59761FD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DE14A1" w14:textId="77777777" w:rsidR="00EC379B" w:rsidRDefault="00296F9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4CA21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B0AAD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232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028C" w14:textId="77777777" w:rsidR="00000000" w:rsidRDefault="00296F98">
      <w:r>
        <w:separator/>
      </w:r>
    </w:p>
  </w:footnote>
  <w:footnote w:type="continuationSeparator" w:id="0">
    <w:p w14:paraId="27931BBC" w14:textId="77777777" w:rsidR="00000000" w:rsidRDefault="0029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2D9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0AB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EF9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07C9"/>
    <w:multiLevelType w:val="hybridMultilevel"/>
    <w:tmpl w:val="CC6C03DC"/>
    <w:lvl w:ilvl="0" w:tplc="509E3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8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56F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8D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44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A2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A7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63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48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6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1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CD1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275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910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0C0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24E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9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851"/>
    <w:rsid w:val="002E21B8"/>
    <w:rsid w:val="002E7DF9"/>
    <w:rsid w:val="002F097B"/>
    <w:rsid w:val="002F2147"/>
    <w:rsid w:val="002F2AD2"/>
    <w:rsid w:val="002F3111"/>
    <w:rsid w:val="002F3E14"/>
    <w:rsid w:val="002F4AEC"/>
    <w:rsid w:val="002F795D"/>
    <w:rsid w:val="00300823"/>
    <w:rsid w:val="00300D7F"/>
    <w:rsid w:val="00301638"/>
    <w:rsid w:val="00303B0C"/>
    <w:rsid w:val="0030459C"/>
    <w:rsid w:val="00307792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11E"/>
    <w:rsid w:val="003F5FA7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C4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4C1F"/>
    <w:rsid w:val="0067036E"/>
    <w:rsid w:val="00671693"/>
    <w:rsid w:val="006757AA"/>
    <w:rsid w:val="006774CF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0D6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278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6DB7"/>
    <w:rsid w:val="007D2892"/>
    <w:rsid w:val="007D2DCC"/>
    <w:rsid w:val="007D47E1"/>
    <w:rsid w:val="007D7654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E62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AFF"/>
    <w:rsid w:val="008D27A5"/>
    <w:rsid w:val="008D2AAB"/>
    <w:rsid w:val="008D309C"/>
    <w:rsid w:val="008D58F9"/>
    <w:rsid w:val="008D7427"/>
    <w:rsid w:val="008E322E"/>
    <w:rsid w:val="008E3338"/>
    <w:rsid w:val="008E47BE"/>
    <w:rsid w:val="008F09DF"/>
    <w:rsid w:val="008F3053"/>
    <w:rsid w:val="008F3136"/>
    <w:rsid w:val="008F40DF"/>
    <w:rsid w:val="008F4EC6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EE6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116"/>
    <w:rsid w:val="00AB474B"/>
    <w:rsid w:val="00AB5CCC"/>
    <w:rsid w:val="00AB74E2"/>
    <w:rsid w:val="00AC2981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D80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549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2DF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EE3"/>
    <w:rsid w:val="00E500F1"/>
    <w:rsid w:val="00E51446"/>
    <w:rsid w:val="00E529C8"/>
    <w:rsid w:val="00E54FFA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3ED4"/>
    <w:rsid w:val="00E947B1"/>
    <w:rsid w:val="00E96852"/>
    <w:rsid w:val="00EA02B7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45D8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A82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B71080-7EF0-43A4-907A-DA05255B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51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02A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2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2A8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2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2A82"/>
    <w:rPr>
      <w:b/>
      <w:bCs/>
    </w:rPr>
  </w:style>
  <w:style w:type="paragraph" w:styleId="Revision">
    <w:name w:val="Revision"/>
    <w:hidden/>
    <w:uiPriority w:val="99"/>
    <w:semiHidden/>
    <w:rsid w:val="007C6D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2491</Characters>
  <Application>Microsoft Office Word</Application>
  <DocSecurity>4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HB02603 (Committee Report (Unamended))</vt:lpstr>
    </vt:vector>
  </TitlesOfParts>
  <Company>State of Texas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25864</dc:subject>
  <dc:creator>State of Texas</dc:creator>
  <dc:description>HB 2603 by Hull-(H)Criminal Jurisprudence</dc:description>
  <cp:lastModifiedBy>Stacey Nicchio</cp:lastModifiedBy>
  <cp:revision>2</cp:revision>
  <cp:lastPrinted>2003-11-26T17:21:00Z</cp:lastPrinted>
  <dcterms:created xsi:type="dcterms:W3CDTF">2023-04-27T16:56:00Z</dcterms:created>
  <dcterms:modified xsi:type="dcterms:W3CDTF">2023-04-27T16:56:00Z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23.116.1163</vt:lpwstr>
  </property>
</Properties>
</file>