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63B26" w14:paraId="2CCD01B1" w14:textId="77777777" w:rsidTr="00205313">
        <w:tc>
          <w:tcPr>
            <w:tcW w:w="9576" w:type="dxa"/>
            <w:noWrap/>
          </w:tcPr>
          <w:p w14:paraId="186D1BB7" w14:textId="77777777" w:rsidR="008423E4" w:rsidRPr="0022177D" w:rsidRDefault="00134442" w:rsidP="003C1A07">
            <w:pPr>
              <w:pStyle w:val="Heading1"/>
            </w:pPr>
            <w:r w:rsidRPr="00631897">
              <w:t>BILL ANALYSIS</w:t>
            </w:r>
          </w:p>
        </w:tc>
      </w:tr>
    </w:tbl>
    <w:p w14:paraId="4FC69E58" w14:textId="77777777" w:rsidR="008423E4" w:rsidRPr="0022177D" w:rsidRDefault="008423E4" w:rsidP="003C1A07">
      <w:pPr>
        <w:jc w:val="center"/>
      </w:pPr>
    </w:p>
    <w:p w14:paraId="11B574E8" w14:textId="77777777" w:rsidR="008423E4" w:rsidRPr="00B31F0E" w:rsidRDefault="008423E4" w:rsidP="003C1A07"/>
    <w:p w14:paraId="7952A113" w14:textId="77777777" w:rsidR="008423E4" w:rsidRPr="00742794" w:rsidRDefault="008423E4" w:rsidP="003C1A0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3B26" w14:paraId="29F47082" w14:textId="77777777" w:rsidTr="00205313">
        <w:tc>
          <w:tcPr>
            <w:tcW w:w="9576" w:type="dxa"/>
          </w:tcPr>
          <w:p w14:paraId="71FA49F7" w14:textId="7528C7F5" w:rsidR="008423E4" w:rsidRPr="00861995" w:rsidRDefault="00134442" w:rsidP="003C1A07">
            <w:pPr>
              <w:jc w:val="right"/>
            </w:pPr>
            <w:r>
              <w:t>H.B. 2620</w:t>
            </w:r>
          </w:p>
        </w:tc>
      </w:tr>
      <w:tr w:rsidR="00463B26" w14:paraId="37958B0B" w14:textId="77777777" w:rsidTr="00205313">
        <w:tc>
          <w:tcPr>
            <w:tcW w:w="9576" w:type="dxa"/>
          </w:tcPr>
          <w:p w14:paraId="218CF4BC" w14:textId="2E8BBBCF" w:rsidR="008423E4" w:rsidRPr="00861995" w:rsidRDefault="00134442" w:rsidP="003C1A07">
            <w:pPr>
              <w:jc w:val="right"/>
            </w:pPr>
            <w:r>
              <w:t xml:space="preserve">By: </w:t>
            </w:r>
            <w:r w:rsidR="00F653E2">
              <w:t>Geren</w:t>
            </w:r>
          </w:p>
        </w:tc>
      </w:tr>
      <w:tr w:rsidR="00463B26" w14:paraId="53EA50BA" w14:textId="77777777" w:rsidTr="00205313">
        <w:tc>
          <w:tcPr>
            <w:tcW w:w="9576" w:type="dxa"/>
          </w:tcPr>
          <w:p w14:paraId="7F03E80E" w14:textId="7CB9037D" w:rsidR="008423E4" w:rsidRPr="00861995" w:rsidRDefault="00134442" w:rsidP="003C1A07">
            <w:pPr>
              <w:jc w:val="right"/>
            </w:pPr>
            <w:r>
              <w:t>Corrections</w:t>
            </w:r>
          </w:p>
        </w:tc>
      </w:tr>
      <w:tr w:rsidR="00463B26" w14:paraId="1820E7E2" w14:textId="77777777" w:rsidTr="00205313">
        <w:tc>
          <w:tcPr>
            <w:tcW w:w="9576" w:type="dxa"/>
          </w:tcPr>
          <w:p w14:paraId="5F27E249" w14:textId="0B106760" w:rsidR="008423E4" w:rsidRDefault="00134442" w:rsidP="003C1A07">
            <w:pPr>
              <w:jc w:val="right"/>
            </w:pPr>
            <w:r>
              <w:t>Committee Report (Unamended)</w:t>
            </w:r>
          </w:p>
        </w:tc>
      </w:tr>
    </w:tbl>
    <w:p w14:paraId="416C8904" w14:textId="77777777" w:rsidR="008423E4" w:rsidRPr="003C1A07" w:rsidRDefault="008423E4" w:rsidP="003C1A07">
      <w:pPr>
        <w:tabs>
          <w:tab w:val="right" w:pos="9360"/>
        </w:tabs>
        <w:rPr>
          <w:sz w:val="20"/>
          <w:szCs w:val="20"/>
        </w:rPr>
      </w:pPr>
    </w:p>
    <w:p w14:paraId="7BD135F7" w14:textId="77777777" w:rsidR="008423E4" w:rsidRPr="003C1A07" w:rsidRDefault="008423E4" w:rsidP="003C1A07">
      <w:pPr>
        <w:rPr>
          <w:sz w:val="20"/>
          <w:szCs w:val="20"/>
        </w:rPr>
      </w:pPr>
    </w:p>
    <w:p w14:paraId="24104AEE" w14:textId="77777777" w:rsidR="008423E4" w:rsidRPr="003C1A07" w:rsidRDefault="008423E4" w:rsidP="003C1A07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63B26" w14:paraId="63130A26" w14:textId="77777777" w:rsidTr="00205313">
        <w:tc>
          <w:tcPr>
            <w:tcW w:w="9576" w:type="dxa"/>
          </w:tcPr>
          <w:p w14:paraId="20174C3A" w14:textId="77777777" w:rsidR="008423E4" w:rsidRPr="00A8133F" w:rsidRDefault="00134442" w:rsidP="003C1A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D416A7" w14:textId="77777777" w:rsidR="008423E4" w:rsidRDefault="008423E4" w:rsidP="003C1A07"/>
          <w:p w14:paraId="01DB046C" w14:textId="4E9CE595" w:rsidR="0022014A" w:rsidRDefault="00134442" w:rsidP="003C1A07">
            <w:pPr>
              <w:pStyle w:val="Header"/>
              <w:jc w:val="both"/>
            </w:pPr>
            <w:r>
              <w:t xml:space="preserve">After final disposition, individuals sentenced to </w:t>
            </w:r>
            <w:r w:rsidR="003F7AA4">
              <w:t>a</w:t>
            </w:r>
            <w:r>
              <w:t xml:space="preserve"> Texas Department of Criminal Justice (TDCJ)</w:t>
            </w:r>
            <w:r w:rsidR="003F7AA4">
              <w:t xml:space="preserve"> facility</w:t>
            </w:r>
            <w:r>
              <w:t xml:space="preserve"> wait in county jails until they are finally transferred to the state</w:t>
            </w:r>
            <w:r w:rsidR="003F7AA4">
              <w:t xml:space="preserve"> facility</w:t>
            </w:r>
            <w:r w:rsidR="00176828">
              <w:t>, with c</w:t>
            </w:r>
            <w:r>
              <w:t>ounty taxpayers bear</w:t>
            </w:r>
            <w:r w:rsidR="00176828">
              <w:t>ing</w:t>
            </w:r>
            <w:r>
              <w:t xml:space="preserve"> the financial responsibility of housing </w:t>
            </w:r>
            <w:r w:rsidR="007A4DF8">
              <w:t xml:space="preserve">these </w:t>
            </w:r>
            <w:r w:rsidR="00176828">
              <w:t>defendants</w:t>
            </w:r>
            <w:r>
              <w:t xml:space="preserve"> </w:t>
            </w:r>
            <w:r w:rsidR="007A4DF8">
              <w:t xml:space="preserve">for the period between their sentencing and transfer. </w:t>
            </w:r>
            <w:r>
              <w:t>Counties</w:t>
            </w:r>
            <w:r w:rsidR="007A4DF8">
              <w:t xml:space="preserve"> must</w:t>
            </w:r>
            <w:r>
              <w:t xml:space="preserve"> provide medical</w:t>
            </w:r>
            <w:r w:rsidR="002501C6">
              <w:t xml:space="preserve"> care</w:t>
            </w:r>
            <w:r>
              <w:t xml:space="preserve"> </w:t>
            </w:r>
            <w:r>
              <w:t xml:space="preserve">and behavioral </w:t>
            </w:r>
            <w:r w:rsidR="002501C6">
              <w:t xml:space="preserve">health </w:t>
            </w:r>
            <w:r>
              <w:t xml:space="preserve">care until the transfer. </w:t>
            </w:r>
            <w:r w:rsidR="007A4DF8">
              <w:t>But, c</w:t>
            </w:r>
            <w:r w:rsidR="00176828">
              <w:t xml:space="preserve">urrently, there are </w:t>
            </w:r>
            <w:r w:rsidR="002501C6">
              <w:t>no</w:t>
            </w:r>
            <w:r w:rsidR="00176828">
              <w:t xml:space="preserve"> mechanisms for providing </w:t>
            </w:r>
            <w:r w:rsidR="007A4DF8">
              <w:t xml:space="preserve">any </w:t>
            </w:r>
            <w:r>
              <w:t xml:space="preserve">reimbursement </w:t>
            </w:r>
            <w:r w:rsidR="007A4DF8">
              <w:t xml:space="preserve">to counties for these expenses, </w:t>
            </w:r>
            <w:r>
              <w:t xml:space="preserve">which has created a financial burden on the </w:t>
            </w:r>
            <w:r w:rsidR="007A4DF8">
              <w:t xml:space="preserve">county </w:t>
            </w:r>
            <w:r>
              <w:t>taxpayer. H</w:t>
            </w:r>
            <w:r w:rsidR="000C4063">
              <w:t>.</w:t>
            </w:r>
            <w:r>
              <w:t>B</w:t>
            </w:r>
            <w:r w:rsidR="000C4063">
              <w:t>.</w:t>
            </w:r>
            <w:r w:rsidR="005157FF">
              <w:t> </w:t>
            </w:r>
            <w:r>
              <w:t>2620</w:t>
            </w:r>
            <w:r w:rsidR="000C4063">
              <w:t xml:space="preserve"> seeks to address this issue by</w:t>
            </w:r>
            <w:r>
              <w:t xml:space="preserve"> requir</w:t>
            </w:r>
            <w:r w:rsidR="000C4063">
              <w:t>ing</w:t>
            </w:r>
            <w:r>
              <w:t xml:space="preserve"> TDCJ </w:t>
            </w:r>
            <w:r w:rsidR="000C4063" w:rsidRPr="000C4063">
              <w:t xml:space="preserve">to review and certify </w:t>
            </w:r>
            <w:r w:rsidR="00785892">
              <w:t xml:space="preserve">the </w:t>
            </w:r>
            <w:r w:rsidR="000C4063" w:rsidRPr="000C4063">
              <w:t>documents</w:t>
            </w:r>
            <w:r w:rsidR="00785892">
              <w:t xml:space="preserve"> required for transfer by a specified deadline after their receipt and to </w:t>
            </w:r>
            <w:r w:rsidR="000C4063" w:rsidRPr="000C4063">
              <w:t xml:space="preserve">accept </w:t>
            </w:r>
            <w:r w:rsidR="00785892">
              <w:t xml:space="preserve">the individual awaiting transfer </w:t>
            </w:r>
            <w:r w:rsidR="000C4063" w:rsidRPr="000C4063">
              <w:t>within 45 days of the date on which all the documents have been received and certified</w:t>
            </w:r>
            <w:r w:rsidR="000C4063">
              <w:t xml:space="preserve">. </w:t>
            </w:r>
            <w:r>
              <w:t>The</w:t>
            </w:r>
            <w:r>
              <w:t xml:space="preserve"> bill also provides a mechanism for counties to be reimbursed for the costs of holding inmates</w:t>
            </w:r>
            <w:r w:rsidR="002501C6">
              <w:t xml:space="preserve"> beyond that 45-day period.</w:t>
            </w:r>
          </w:p>
          <w:p w14:paraId="30485C8B" w14:textId="77777777" w:rsidR="008423E4" w:rsidRPr="00E26B13" w:rsidRDefault="008423E4" w:rsidP="003C1A07">
            <w:pPr>
              <w:pStyle w:val="Header"/>
              <w:jc w:val="both"/>
              <w:rPr>
                <w:b/>
              </w:rPr>
            </w:pPr>
          </w:p>
        </w:tc>
      </w:tr>
      <w:tr w:rsidR="00463B26" w14:paraId="31D48BBA" w14:textId="77777777" w:rsidTr="00205313">
        <w:tc>
          <w:tcPr>
            <w:tcW w:w="9576" w:type="dxa"/>
          </w:tcPr>
          <w:p w14:paraId="6C7942D9" w14:textId="77777777" w:rsidR="0017725B" w:rsidRDefault="00134442" w:rsidP="003C1A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066005" w14:textId="77777777" w:rsidR="0017725B" w:rsidRDefault="0017725B" w:rsidP="003C1A07">
            <w:pPr>
              <w:rPr>
                <w:b/>
                <w:u w:val="single"/>
              </w:rPr>
            </w:pPr>
          </w:p>
          <w:p w14:paraId="4E5BDE4E" w14:textId="77777777" w:rsidR="0017725B" w:rsidRDefault="00134442" w:rsidP="003C1A07">
            <w:pPr>
              <w:jc w:val="both"/>
            </w:pPr>
            <w:r>
              <w:t>It is the committee's opinion that this bill does not expressly create a criminal offense, increase the pun</w:t>
            </w:r>
            <w:r>
              <w:t>ishment for an existing criminal offense or category of offenses, or change the eligibility of a person for community supervision, parole, or mandatory supervision.</w:t>
            </w:r>
          </w:p>
          <w:p w14:paraId="20929115" w14:textId="0F446824" w:rsidR="00871822" w:rsidRPr="0017725B" w:rsidRDefault="00871822" w:rsidP="003C1A07">
            <w:pPr>
              <w:jc w:val="both"/>
              <w:rPr>
                <w:b/>
                <w:u w:val="single"/>
              </w:rPr>
            </w:pPr>
          </w:p>
        </w:tc>
      </w:tr>
      <w:tr w:rsidR="00463B26" w14:paraId="48E789FC" w14:textId="77777777" w:rsidTr="00205313">
        <w:tc>
          <w:tcPr>
            <w:tcW w:w="9576" w:type="dxa"/>
          </w:tcPr>
          <w:p w14:paraId="420121C8" w14:textId="77777777" w:rsidR="008423E4" w:rsidRPr="00A8133F" w:rsidRDefault="00134442" w:rsidP="003C1A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FE9E40" w14:textId="4E09A962" w:rsidR="008423E4" w:rsidRDefault="008423E4" w:rsidP="003C1A07">
            <w:pPr>
              <w:rPr>
                <w:b/>
              </w:rPr>
            </w:pPr>
          </w:p>
          <w:p w14:paraId="147249A6" w14:textId="77777777" w:rsidR="005D10E8" w:rsidRDefault="00134442" w:rsidP="003C1A07">
            <w:pPr>
              <w:rPr>
                <w:bCs/>
              </w:rPr>
            </w:pPr>
            <w:r w:rsidRPr="005D10E8">
              <w:rPr>
                <w:bCs/>
              </w:rPr>
              <w:t>It is the committee's opinion that this bill does not expressly gr</w:t>
            </w:r>
            <w:r w:rsidRPr="005D10E8">
              <w:rPr>
                <w:bCs/>
              </w:rPr>
              <w:t>ant any additional rulemaking authority to a state officer, department, agency, or institution</w:t>
            </w:r>
            <w:r>
              <w:rPr>
                <w:bCs/>
              </w:rPr>
              <w:t>.</w:t>
            </w:r>
          </w:p>
          <w:p w14:paraId="1AC9C06B" w14:textId="356C3D23" w:rsidR="00871822" w:rsidRPr="00E21FDC" w:rsidRDefault="00871822" w:rsidP="003C1A07">
            <w:pPr>
              <w:rPr>
                <w:b/>
              </w:rPr>
            </w:pPr>
          </w:p>
        </w:tc>
      </w:tr>
      <w:tr w:rsidR="00463B26" w14:paraId="5F736A43" w14:textId="77777777" w:rsidTr="00205313">
        <w:tc>
          <w:tcPr>
            <w:tcW w:w="9576" w:type="dxa"/>
          </w:tcPr>
          <w:p w14:paraId="1D743652" w14:textId="7C4C8FE4" w:rsidR="009C36CD" w:rsidRDefault="00134442" w:rsidP="003C1A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2A98ED" w14:textId="391BD87A" w:rsidR="00931C38" w:rsidRDefault="00931C38" w:rsidP="003C1A07">
            <w:pPr>
              <w:rPr>
                <w:b/>
              </w:rPr>
            </w:pPr>
          </w:p>
          <w:p w14:paraId="5469C2A4" w14:textId="6BD6DA99" w:rsidR="005F6B14" w:rsidRDefault="00134442" w:rsidP="003C1A07">
            <w:pPr>
              <w:jc w:val="both"/>
            </w:pPr>
            <w:r>
              <w:t>H.B. 2620 amends the Government Code to change the scheduled admissions policy that the Texas Board of Criminal Justice (TBCJ) must adopt and enfor</w:t>
            </w:r>
            <w:r>
              <w:t>ce from a policy that permits the institutional division of the Texas Department of Criminal Justice (</w:t>
            </w:r>
            <w:r w:rsidRPr="00DD6629">
              <w:t>TDCJ</w:t>
            </w:r>
            <w:r>
              <w:t>)</w:t>
            </w:r>
            <w:r w:rsidRPr="00DD6629">
              <w:t xml:space="preserve"> </w:t>
            </w:r>
            <w:r>
              <w:t xml:space="preserve">to accept inmates within 45 days of processing to a policy that requires TDCJ </w:t>
            </w:r>
            <w:r w:rsidR="00F34B19">
              <w:t xml:space="preserve">to review and certify </w:t>
            </w:r>
            <w:r w:rsidR="00F34B19" w:rsidRPr="00A71610">
              <w:t>required</w:t>
            </w:r>
            <w:r w:rsidR="00F34B19">
              <w:t xml:space="preserve"> documents </w:t>
            </w:r>
            <w:r w:rsidR="00F03F93">
              <w:t xml:space="preserve">relating to a convicted person </w:t>
            </w:r>
            <w:r w:rsidR="00523E45">
              <w:t xml:space="preserve">that are </w:t>
            </w:r>
            <w:r w:rsidR="00F358B5">
              <w:t xml:space="preserve">delivered </w:t>
            </w:r>
            <w:r w:rsidR="00DA7669">
              <w:t>by</w:t>
            </w:r>
            <w:r w:rsidR="00F34B19" w:rsidRPr="000C25B0">
              <w:t xml:space="preserve"> </w:t>
            </w:r>
            <w:r w:rsidR="000C25B0">
              <w:t>the</w:t>
            </w:r>
            <w:r w:rsidR="00F34B19" w:rsidRPr="000C25B0">
              <w:t xml:space="preserve"> applicable county</w:t>
            </w:r>
            <w:r w:rsidR="00F34B19">
              <w:t xml:space="preserve"> not later than the third day after receipt </w:t>
            </w:r>
            <w:r w:rsidR="00523E45">
              <w:t xml:space="preserve">of those documents </w:t>
            </w:r>
            <w:r w:rsidR="00F34B19">
              <w:t xml:space="preserve">and </w:t>
            </w:r>
            <w:r>
              <w:t xml:space="preserve">to accept </w:t>
            </w:r>
            <w:r w:rsidR="00F03F93" w:rsidRPr="000C25B0">
              <w:t xml:space="preserve">such a </w:t>
            </w:r>
            <w:r w:rsidRPr="000C25B0">
              <w:t>person</w:t>
            </w:r>
            <w:r>
              <w:t xml:space="preserve"> within</w:t>
            </w:r>
            <w:r w:rsidR="000C25B0">
              <w:t xml:space="preserve"> </w:t>
            </w:r>
            <w:r w:rsidRPr="001F3798">
              <w:t>45</w:t>
            </w:r>
            <w:r w:rsidR="006931BF">
              <w:t xml:space="preserve"> </w:t>
            </w:r>
            <w:r w:rsidRPr="001F3798">
              <w:t>day</w:t>
            </w:r>
            <w:r w:rsidR="008C6E79">
              <w:t xml:space="preserve">s of the date </w:t>
            </w:r>
            <w:r w:rsidR="006931BF">
              <w:t>on which</w:t>
            </w:r>
            <w:r w:rsidR="008C6E79">
              <w:t xml:space="preserve"> all the documents have been received and certified</w:t>
            </w:r>
            <w:r>
              <w:t>. The bill requires TBCJ to adopt the policy not later than September 30, 2023.</w:t>
            </w:r>
          </w:p>
          <w:p w14:paraId="2A4E9894" w14:textId="77777777" w:rsidR="005F6B14" w:rsidRDefault="005F6B14" w:rsidP="003C1A07">
            <w:pPr>
              <w:jc w:val="both"/>
            </w:pPr>
          </w:p>
          <w:p w14:paraId="79178526" w14:textId="6D0011D8" w:rsidR="00931C38" w:rsidRDefault="00134442" w:rsidP="003C1A07">
            <w:pPr>
              <w:jc w:val="both"/>
            </w:pPr>
            <w:r>
              <w:t>H.B. 2620 requires TDCJ to take custody of</w:t>
            </w:r>
            <w:r w:rsidRPr="00A35C60">
              <w:t xml:space="preserve"> a person awaiting transfer to </w:t>
            </w:r>
            <w:r>
              <w:t xml:space="preserve">TDCJ </w:t>
            </w:r>
            <w:r w:rsidRPr="00A35C60">
              <w:t>following</w:t>
            </w:r>
            <w:r>
              <w:t xml:space="preserve"> </w:t>
            </w:r>
            <w:r w:rsidRPr="00A35C60">
              <w:t xml:space="preserve">conviction of a felony not later than the 45th day following the date on which </w:t>
            </w:r>
            <w:r w:rsidR="00DD2EED">
              <w:t xml:space="preserve">all </w:t>
            </w:r>
            <w:r w:rsidR="000C25B0">
              <w:t xml:space="preserve">the </w:t>
            </w:r>
            <w:r w:rsidRPr="00E0648A">
              <w:t xml:space="preserve">required documents </w:t>
            </w:r>
            <w:r w:rsidR="00C360D2" w:rsidRPr="00E0648A">
              <w:t xml:space="preserve">from </w:t>
            </w:r>
            <w:r w:rsidR="00E0648A">
              <w:t>the</w:t>
            </w:r>
            <w:r w:rsidR="00C360D2" w:rsidRPr="00E0648A">
              <w:t xml:space="preserve"> applicable county</w:t>
            </w:r>
            <w:r w:rsidR="00DD2EED">
              <w:t xml:space="preserve"> have been received and certified by TDCJ</w:t>
            </w:r>
            <w:r>
              <w:t>.</w:t>
            </w:r>
            <w:r w:rsidR="00631060">
              <w:t xml:space="preserve"> I</w:t>
            </w:r>
            <w:r>
              <w:t xml:space="preserve">f </w:t>
            </w:r>
            <w:r w:rsidR="00631060">
              <w:t xml:space="preserve">TDCJ </w:t>
            </w:r>
            <w:r w:rsidRPr="001F3573">
              <w:t>does not take custody of a person within the</w:t>
            </w:r>
            <w:r>
              <w:t xml:space="preserve"> 45-day period, </w:t>
            </w:r>
            <w:r w:rsidR="00631060">
              <w:t xml:space="preserve">TDCJ must </w:t>
            </w:r>
            <w:r w:rsidRPr="001F3573">
              <w:t>com</w:t>
            </w:r>
            <w:r w:rsidRPr="001F3573">
              <w:t xml:space="preserve">pensate the </w:t>
            </w:r>
            <w:r w:rsidR="00631060">
              <w:t xml:space="preserve">applicable </w:t>
            </w:r>
            <w:r w:rsidRPr="001F3573">
              <w:t>county in an</w:t>
            </w:r>
            <w:r>
              <w:t xml:space="preserve"> amount</w:t>
            </w:r>
            <w:r w:rsidRPr="001F3573">
              <w:t xml:space="preserve"> </w:t>
            </w:r>
            <w:r w:rsidRPr="00F358B5">
              <w:t xml:space="preserve">equal to </w:t>
            </w:r>
            <w:r w:rsidR="00F358B5">
              <w:t xml:space="preserve">the sum of </w:t>
            </w:r>
            <w:r w:rsidRPr="00F358B5">
              <w:t>the following</w:t>
            </w:r>
            <w:r>
              <w:t>:</w:t>
            </w:r>
          </w:p>
          <w:p w14:paraId="165C05B5" w14:textId="17597BEC" w:rsidR="00931C38" w:rsidRDefault="00134442" w:rsidP="003C1A0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125 percent of the cost of confinement for each day that the person remains confined in the county jail following the expiration of the </w:t>
            </w:r>
            <w:r w:rsidR="004A3474">
              <w:t xml:space="preserve">45-day </w:t>
            </w:r>
            <w:r>
              <w:t>period;</w:t>
            </w:r>
          </w:p>
          <w:p w14:paraId="6353B0D1" w14:textId="008B4D56" w:rsidR="00931C38" w:rsidRDefault="00134442" w:rsidP="003C1A0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cost of confinement for</w:t>
            </w:r>
            <w:r>
              <w:t xml:space="preserve"> each day for the period beginning on the date on which TDCJ</w:t>
            </w:r>
            <w:r w:rsidR="0083166D">
              <w:t xml:space="preserve"> received the documents</w:t>
            </w:r>
            <w:r>
              <w:t xml:space="preserve"> and ending on the date on which TDCJ certified the documents; and</w:t>
            </w:r>
          </w:p>
          <w:p w14:paraId="1CB32762" w14:textId="444755A9" w:rsidR="00931C38" w:rsidRDefault="00134442" w:rsidP="003C1A0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the cost to the county for all medical, behavioral health, and pharmaceutical care provided to the person </w:t>
            </w:r>
            <w:r>
              <w:t>while confined beginning on the date on which TDCJ received the documents.</w:t>
            </w:r>
          </w:p>
          <w:p w14:paraId="7FADFFD8" w14:textId="28F8CAB3" w:rsidR="00931C38" w:rsidRDefault="00134442" w:rsidP="003C1A07">
            <w:pPr>
              <w:jc w:val="both"/>
            </w:pPr>
            <w:r>
              <w:t>For purposes of this compensation, "cost of confinement" means the cost to the county for a person's confinement based on the average daily cost of confining a person in the county jail, as determined by the county commissioners court. These provisions app</w:t>
            </w:r>
            <w:r>
              <w:t xml:space="preserve">ly only to </w:t>
            </w:r>
            <w:r w:rsidRPr="005D10E8">
              <w:t xml:space="preserve">compensation to a county for the costs related to the confinement of a person that occurs on or after </w:t>
            </w:r>
            <w:r w:rsidR="00304EA5" w:rsidRPr="005D10E8">
              <w:t>October</w:t>
            </w:r>
            <w:r w:rsidR="00304EA5">
              <w:t> </w:t>
            </w:r>
            <w:r w:rsidRPr="005D10E8">
              <w:t>1, 2023</w:t>
            </w:r>
            <w:r>
              <w:t>.</w:t>
            </w:r>
          </w:p>
          <w:p w14:paraId="61287F20" w14:textId="74D5AC7E" w:rsidR="00931C38" w:rsidRDefault="00134442" w:rsidP="003C1A07">
            <w:pPr>
              <w:rPr>
                <w:b/>
              </w:rPr>
            </w:pPr>
            <w:r>
              <w:tab/>
            </w:r>
          </w:p>
          <w:p w14:paraId="7296878E" w14:textId="77777777" w:rsidR="00B2748C" w:rsidRDefault="00134442" w:rsidP="003C1A07">
            <w:pPr>
              <w:tabs>
                <w:tab w:val="left" w:pos="1500"/>
              </w:tabs>
            </w:pPr>
            <w:r>
              <w:t xml:space="preserve">H.B. 2620 </w:t>
            </w:r>
            <w:r w:rsidR="001F3573">
              <w:t xml:space="preserve">repeals </w:t>
            </w:r>
            <w:r w:rsidR="001F3573" w:rsidRPr="001F3573">
              <w:t>Section 499.121(c), Government Code</w:t>
            </w:r>
            <w:r w:rsidR="001F3573">
              <w:t>.</w:t>
            </w:r>
          </w:p>
          <w:p w14:paraId="0E549F64" w14:textId="7F802849" w:rsidR="00871822" w:rsidRPr="002F288E" w:rsidRDefault="00871822" w:rsidP="003C1A07">
            <w:pPr>
              <w:tabs>
                <w:tab w:val="left" w:pos="1500"/>
              </w:tabs>
            </w:pPr>
          </w:p>
        </w:tc>
      </w:tr>
      <w:tr w:rsidR="00463B26" w14:paraId="1C06BA62" w14:textId="77777777" w:rsidTr="00205313">
        <w:tc>
          <w:tcPr>
            <w:tcW w:w="9576" w:type="dxa"/>
          </w:tcPr>
          <w:p w14:paraId="69C06940" w14:textId="77777777" w:rsidR="008423E4" w:rsidRPr="00A8133F" w:rsidRDefault="00134442" w:rsidP="003C1A0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929F15" w14:textId="77777777" w:rsidR="008423E4" w:rsidRDefault="008423E4" w:rsidP="003C1A07"/>
          <w:p w14:paraId="1DE602D0" w14:textId="706D1DEA" w:rsidR="008423E4" w:rsidRPr="00233FDB" w:rsidRDefault="00134442" w:rsidP="003C1A0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</w:t>
            </w:r>
            <w:r>
              <w:t>ecessary vote, September 1, 2023.</w:t>
            </w:r>
          </w:p>
        </w:tc>
      </w:tr>
    </w:tbl>
    <w:p w14:paraId="49290CC1" w14:textId="77777777" w:rsidR="008423E4" w:rsidRPr="00BE0E75" w:rsidRDefault="008423E4" w:rsidP="003C1A07">
      <w:pPr>
        <w:jc w:val="both"/>
        <w:rPr>
          <w:rFonts w:ascii="Arial" w:hAnsi="Arial"/>
          <w:sz w:val="16"/>
          <w:szCs w:val="16"/>
        </w:rPr>
      </w:pPr>
    </w:p>
    <w:p w14:paraId="46DB2912" w14:textId="77777777" w:rsidR="004108C3" w:rsidRPr="008423E4" w:rsidRDefault="004108C3" w:rsidP="003C1A0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FE60" w14:textId="77777777" w:rsidR="00000000" w:rsidRDefault="00134442">
      <w:r>
        <w:separator/>
      </w:r>
    </w:p>
  </w:endnote>
  <w:endnote w:type="continuationSeparator" w:id="0">
    <w:p w14:paraId="4A29F6AB" w14:textId="77777777" w:rsidR="00000000" w:rsidRDefault="0013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2892" w14:textId="77777777" w:rsidR="00CF0B1D" w:rsidRDefault="00CF0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3B26" w14:paraId="086967BD" w14:textId="77777777" w:rsidTr="009C1E9A">
      <w:trPr>
        <w:cantSplit/>
      </w:trPr>
      <w:tc>
        <w:tcPr>
          <w:tcW w:w="0" w:type="pct"/>
        </w:tcPr>
        <w:p w14:paraId="470623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9659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F7AB5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7590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246C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3B26" w14:paraId="48A9894D" w14:textId="77777777" w:rsidTr="009C1E9A">
      <w:trPr>
        <w:cantSplit/>
      </w:trPr>
      <w:tc>
        <w:tcPr>
          <w:tcW w:w="0" w:type="pct"/>
        </w:tcPr>
        <w:p w14:paraId="4EBD77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8D332B" w14:textId="5FAA97A0" w:rsidR="00EC379B" w:rsidRPr="009C1E9A" w:rsidRDefault="0013444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22658-D</w:t>
          </w:r>
        </w:p>
      </w:tc>
      <w:tc>
        <w:tcPr>
          <w:tcW w:w="2453" w:type="pct"/>
        </w:tcPr>
        <w:p w14:paraId="24F0E5B8" w14:textId="2DBDA741" w:rsidR="00EC379B" w:rsidRDefault="0013444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D7B90">
            <w:t>23.100.1781</w:t>
          </w:r>
          <w:r>
            <w:fldChar w:fldCharType="end"/>
          </w:r>
        </w:p>
      </w:tc>
    </w:tr>
    <w:tr w:rsidR="00463B26" w14:paraId="617A7477" w14:textId="77777777" w:rsidTr="009C1E9A">
      <w:trPr>
        <w:cantSplit/>
      </w:trPr>
      <w:tc>
        <w:tcPr>
          <w:tcW w:w="0" w:type="pct"/>
        </w:tcPr>
        <w:p w14:paraId="2B0537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2C0C0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D5D0D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BA9F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3B26" w14:paraId="52699C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1D2EC9F" w14:textId="77777777" w:rsidR="00EC379B" w:rsidRDefault="0013444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CC5F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AE401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D79F" w14:textId="77777777" w:rsidR="00CF0B1D" w:rsidRDefault="00CF0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89CF" w14:textId="77777777" w:rsidR="00000000" w:rsidRDefault="00134442">
      <w:r>
        <w:separator/>
      </w:r>
    </w:p>
  </w:footnote>
  <w:footnote w:type="continuationSeparator" w:id="0">
    <w:p w14:paraId="1193BFC3" w14:textId="77777777" w:rsidR="00000000" w:rsidRDefault="0013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1AE1" w14:textId="77777777" w:rsidR="00CF0B1D" w:rsidRDefault="00CF0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831" w14:textId="77777777" w:rsidR="00CF0B1D" w:rsidRDefault="00CF0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BE71" w14:textId="77777777" w:rsidR="00CF0B1D" w:rsidRDefault="00CF0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8043E"/>
    <w:multiLevelType w:val="hybridMultilevel"/>
    <w:tmpl w:val="C12EB398"/>
    <w:lvl w:ilvl="0" w:tplc="6B24C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C0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65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4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CA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A9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C2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8A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9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A1"/>
    <w:rsid w:val="00000A70"/>
    <w:rsid w:val="000032B8"/>
    <w:rsid w:val="00003B06"/>
    <w:rsid w:val="000054B9"/>
    <w:rsid w:val="00007461"/>
    <w:rsid w:val="000074A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F8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5B0"/>
    <w:rsid w:val="000C4063"/>
    <w:rsid w:val="000C49DA"/>
    <w:rsid w:val="000C4B3D"/>
    <w:rsid w:val="000C6DC1"/>
    <w:rsid w:val="000C6E20"/>
    <w:rsid w:val="000C76D7"/>
    <w:rsid w:val="000C7BDF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44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828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573"/>
    <w:rsid w:val="001F3798"/>
    <w:rsid w:val="001F3CB8"/>
    <w:rsid w:val="001F4390"/>
    <w:rsid w:val="001F6B91"/>
    <w:rsid w:val="001F703C"/>
    <w:rsid w:val="00200B9E"/>
    <w:rsid w:val="00200BF5"/>
    <w:rsid w:val="002010D1"/>
    <w:rsid w:val="00201338"/>
    <w:rsid w:val="00205313"/>
    <w:rsid w:val="0020775D"/>
    <w:rsid w:val="002116DD"/>
    <w:rsid w:val="0021383D"/>
    <w:rsid w:val="00216BBA"/>
    <w:rsid w:val="00216E12"/>
    <w:rsid w:val="00217466"/>
    <w:rsid w:val="0021751D"/>
    <w:rsid w:val="00217C49"/>
    <w:rsid w:val="0022014A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1C6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38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327"/>
    <w:rsid w:val="002E7DF9"/>
    <w:rsid w:val="002F097B"/>
    <w:rsid w:val="002F2147"/>
    <w:rsid w:val="002F288E"/>
    <w:rsid w:val="002F3111"/>
    <w:rsid w:val="002F4AEC"/>
    <w:rsid w:val="002F795D"/>
    <w:rsid w:val="00300823"/>
    <w:rsid w:val="00300D7F"/>
    <w:rsid w:val="00301638"/>
    <w:rsid w:val="00303B0C"/>
    <w:rsid w:val="0030459C"/>
    <w:rsid w:val="00304EA5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A07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AA4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F29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B26"/>
    <w:rsid w:val="00474927"/>
    <w:rsid w:val="00474ACA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47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9C3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7FF"/>
    <w:rsid w:val="005159DE"/>
    <w:rsid w:val="00523E45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B17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0E8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B14"/>
    <w:rsid w:val="005F7000"/>
    <w:rsid w:val="005F7AAA"/>
    <w:rsid w:val="00600BAA"/>
    <w:rsid w:val="006012DA"/>
    <w:rsid w:val="00603B0F"/>
    <w:rsid w:val="006048D4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4BEC"/>
    <w:rsid w:val="006272DD"/>
    <w:rsid w:val="00630963"/>
    <w:rsid w:val="00631060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CA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1B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846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892"/>
    <w:rsid w:val="00786058"/>
    <w:rsid w:val="0079367B"/>
    <w:rsid w:val="0079487D"/>
    <w:rsid w:val="007966D4"/>
    <w:rsid w:val="00796A0A"/>
    <w:rsid w:val="0079792C"/>
    <w:rsid w:val="007A0989"/>
    <w:rsid w:val="007A11E0"/>
    <w:rsid w:val="007A331F"/>
    <w:rsid w:val="007A3844"/>
    <w:rsid w:val="007A4381"/>
    <w:rsid w:val="007A4DF8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72E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47A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66D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822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E7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CC2"/>
    <w:rsid w:val="00901670"/>
    <w:rsid w:val="009016AE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C38"/>
    <w:rsid w:val="009320D2"/>
    <w:rsid w:val="009329FB"/>
    <w:rsid w:val="00932C77"/>
    <w:rsid w:val="0093417F"/>
    <w:rsid w:val="00934AC2"/>
    <w:rsid w:val="00936C7B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F43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C60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610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48C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B90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0D2"/>
    <w:rsid w:val="00C361C5"/>
    <w:rsid w:val="00C377D1"/>
    <w:rsid w:val="00C37BDA"/>
    <w:rsid w:val="00C37C84"/>
    <w:rsid w:val="00C42B41"/>
    <w:rsid w:val="00C46166"/>
    <w:rsid w:val="00C4710D"/>
    <w:rsid w:val="00C50CAD"/>
    <w:rsid w:val="00C50F1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52E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B1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57E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669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EED"/>
    <w:rsid w:val="00DD5BCC"/>
    <w:rsid w:val="00DD6629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48A"/>
    <w:rsid w:val="00E066E6"/>
    <w:rsid w:val="00E06807"/>
    <w:rsid w:val="00E06C5E"/>
    <w:rsid w:val="00E0752B"/>
    <w:rsid w:val="00E10895"/>
    <w:rsid w:val="00E1228E"/>
    <w:rsid w:val="00E13374"/>
    <w:rsid w:val="00E14079"/>
    <w:rsid w:val="00E15F90"/>
    <w:rsid w:val="00E16D3E"/>
    <w:rsid w:val="00E17167"/>
    <w:rsid w:val="00E20520"/>
    <w:rsid w:val="00E2076E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1CDB"/>
    <w:rsid w:val="00E42014"/>
    <w:rsid w:val="00E42B85"/>
    <w:rsid w:val="00E42BB2"/>
    <w:rsid w:val="00E42E95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9E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F9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B19"/>
    <w:rsid w:val="00F358B5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3E2"/>
    <w:rsid w:val="00F6587F"/>
    <w:rsid w:val="00F67981"/>
    <w:rsid w:val="00F706CA"/>
    <w:rsid w:val="00F70F8D"/>
    <w:rsid w:val="00F71C5A"/>
    <w:rsid w:val="00F733A4"/>
    <w:rsid w:val="00F7758F"/>
    <w:rsid w:val="00F775E7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3A7D7-6746-4CC6-BF0B-E9BA130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1C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1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1C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CDB"/>
    <w:rPr>
      <w:b/>
      <w:bCs/>
    </w:rPr>
  </w:style>
  <w:style w:type="paragraph" w:styleId="ListParagraph">
    <w:name w:val="List Paragraph"/>
    <w:basedOn w:val="Normal"/>
    <w:uiPriority w:val="34"/>
    <w:qFormat/>
    <w:rsid w:val="001F3573"/>
    <w:pPr>
      <w:ind w:left="720"/>
      <w:contextualSpacing/>
    </w:pPr>
  </w:style>
  <w:style w:type="paragraph" w:styleId="Revision">
    <w:name w:val="Revision"/>
    <w:hidden/>
    <w:uiPriority w:val="99"/>
    <w:semiHidden/>
    <w:rsid w:val="009016AE"/>
    <w:rPr>
      <w:sz w:val="24"/>
      <w:szCs w:val="24"/>
    </w:rPr>
  </w:style>
  <w:style w:type="character" w:styleId="Hyperlink">
    <w:name w:val="Hyperlink"/>
    <w:basedOn w:val="DefaultParagraphFont"/>
    <w:unhideWhenUsed/>
    <w:rsid w:val="009016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6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3148</Characters>
  <Application>Microsoft Office Word</Application>
  <DocSecurity>4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HB02620 (Committee Report (Unamended))</vt:lpstr>
    </vt:vector>
  </TitlesOfParts>
  <Company>State of Texas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22658</dc:subject>
  <dc:creator>State of Texas</dc:creator>
  <dc:description>HB 2620 by Geren-(H)Corrections</dc:description>
  <cp:lastModifiedBy>Stacey Nicchio</cp:lastModifiedBy>
  <cp:revision>2</cp:revision>
  <cp:lastPrinted>2003-11-26T17:21:00Z</cp:lastPrinted>
  <dcterms:created xsi:type="dcterms:W3CDTF">2023-04-14T14:43:00Z</dcterms:created>
  <dcterms:modified xsi:type="dcterms:W3CDTF">2023-04-14T14:43:00Z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23.100.1781</vt:lpwstr>
  </property>
</Properties>
</file>