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D5756" w14:paraId="45C5DF05" w14:textId="77777777" w:rsidTr="00345119">
        <w:tc>
          <w:tcPr>
            <w:tcW w:w="9576" w:type="dxa"/>
            <w:noWrap/>
          </w:tcPr>
          <w:p w14:paraId="139B3ED3" w14:textId="77777777" w:rsidR="008423E4" w:rsidRPr="0022177D" w:rsidRDefault="00364F55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5309AFC3" w14:textId="77777777" w:rsidR="008423E4" w:rsidRPr="0022177D" w:rsidRDefault="008423E4" w:rsidP="008423E4">
      <w:pPr>
        <w:jc w:val="center"/>
      </w:pPr>
    </w:p>
    <w:p w14:paraId="35A8A9BA" w14:textId="77777777" w:rsidR="008423E4" w:rsidRPr="00B31F0E" w:rsidRDefault="008423E4" w:rsidP="008423E4"/>
    <w:p w14:paraId="22840EE7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D5756" w14:paraId="0C6B52F4" w14:textId="77777777" w:rsidTr="00345119">
        <w:tc>
          <w:tcPr>
            <w:tcW w:w="9576" w:type="dxa"/>
          </w:tcPr>
          <w:p w14:paraId="3F3C6E96" w14:textId="5FC84F26" w:rsidR="008423E4" w:rsidRPr="00861995" w:rsidRDefault="00364F55" w:rsidP="00345119">
            <w:pPr>
              <w:jc w:val="right"/>
            </w:pPr>
            <w:r>
              <w:t>C.S.H.B. 2636</w:t>
            </w:r>
          </w:p>
        </w:tc>
      </w:tr>
      <w:tr w:rsidR="00CD5756" w14:paraId="73FF3C09" w14:textId="77777777" w:rsidTr="00345119">
        <w:tc>
          <w:tcPr>
            <w:tcW w:w="9576" w:type="dxa"/>
          </w:tcPr>
          <w:p w14:paraId="0C5A01AF" w14:textId="22915247" w:rsidR="008423E4" w:rsidRPr="00861995" w:rsidRDefault="00364F55" w:rsidP="00345119">
            <w:pPr>
              <w:jc w:val="right"/>
            </w:pPr>
            <w:r>
              <w:t xml:space="preserve">By: </w:t>
            </w:r>
            <w:r w:rsidR="008722A7">
              <w:t>Murr</w:t>
            </w:r>
          </w:p>
        </w:tc>
      </w:tr>
      <w:tr w:rsidR="00CD5756" w14:paraId="5634F09A" w14:textId="77777777" w:rsidTr="00345119">
        <w:tc>
          <w:tcPr>
            <w:tcW w:w="9576" w:type="dxa"/>
          </w:tcPr>
          <w:p w14:paraId="21AF1E95" w14:textId="3C0E2FBB" w:rsidR="008423E4" w:rsidRPr="00861995" w:rsidRDefault="00364F55" w:rsidP="00345119">
            <w:pPr>
              <w:jc w:val="right"/>
            </w:pPr>
            <w:r>
              <w:t>Judiciary &amp; Civil Jurisprudence</w:t>
            </w:r>
          </w:p>
        </w:tc>
      </w:tr>
      <w:tr w:rsidR="00CD5756" w14:paraId="21741634" w14:textId="77777777" w:rsidTr="00345119">
        <w:tc>
          <w:tcPr>
            <w:tcW w:w="9576" w:type="dxa"/>
          </w:tcPr>
          <w:p w14:paraId="47FF1FCF" w14:textId="0749ECC8" w:rsidR="008423E4" w:rsidRDefault="00364F55" w:rsidP="00345119">
            <w:pPr>
              <w:jc w:val="right"/>
            </w:pPr>
            <w:r>
              <w:t>Committee Report (Substituted)</w:t>
            </w:r>
          </w:p>
        </w:tc>
      </w:tr>
    </w:tbl>
    <w:p w14:paraId="7D847FBC" w14:textId="77777777" w:rsidR="008423E4" w:rsidRDefault="008423E4" w:rsidP="008423E4">
      <w:pPr>
        <w:tabs>
          <w:tab w:val="right" w:pos="9360"/>
        </w:tabs>
      </w:pPr>
    </w:p>
    <w:p w14:paraId="5F254E00" w14:textId="77777777" w:rsidR="008423E4" w:rsidRDefault="008423E4" w:rsidP="008423E4"/>
    <w:p w14:paraId="352E35D6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D5756" w14:paraId="3F570BA3" w14:textId="77777777" w:rsidTr="00345119">
        <w:tc>
          <w:tcPr>
            <w:tcW w:w="9576" w:type="dxa"/>
          </w:tcPr>
          <w:p w14:paraId="48D4126E" w14:textId="77777777" w:rsidR="008423E4" w:rsidRPr="00A8133F" w:rsidRDefault="00364F55" w:rsidP="00E37A0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AD3EEF0" w14:textId="77777777" w:rsidR="008423E4" w:rsidRDefault="008423E4" w:rsidP="00E37A07"/>
          <w:p w14:paraId="7F823304" w14:textId="58431CC2" w:rsidR="008423E4" w:rsidRDefault="00364F55" w:rsidP="00E37A07">
            <w:pPr>
              <w:pStyle w:val="Header"/>
              <w:jc w:val="both"/>
            </w:pPr>
            <w:r w:rsidRPr="00AF56B1">
              <w:t>Camping</w:t>
            </w:r>
            <w:r>
              <w:t>,</w:t>
            </w:r>
            <w:r w:rsidR="00120572">
              <w:t xml:space="preserve"> like</w:t>
            </w:r>
            <w:r w:rsidRPr="00AF56B1">
              <w:t xml:space="preserve"> other outdoor activit</w:t>
            </w:r>
            <w:r>
              <w:t>ies,</w:t>
            </w:r>
            <w:r w:rsidRPr="00AF56B1">
              <w:t xml:space="preserve"> has its inherent risks</w:t>
            </w:r>
            <w:r w:rsidR="00120572" w:rsidRPr="00120572">
              <w:t xml:space="preserve">, whether it be uneven terrain, weather conditions, natural vegetation, natural bodies of water, insects, </w:t>
            </w:r>
            <w:r w:rsidR="00120572">
              <w:t>or</w:t>
            </w:r>
            <w:r w:rsidR="00120572" w:rsidRPr="00120572">
              <w:t xml:space="preserve"> animals. Camping also allows </w:t>
            </w:r>
            <w:r w:rsidR="00120572">
              <w:t xml:space="preserve">for people to engage in </w:t>
            </w:r>
            <w:r w:rsidR="00120572" w:rsidRPr="00120572">
              <w:t xml:space="preserve">activities that </w:t>
            </w:r>
            <w:r w:rsidR="00120572">
              <w:t>they</w:t>
            </w:r>
            <w:r w:rsidR="00120572" w:rsidRPr="00120572">
              <w:t xml:space="preserve"> might not </w:t>
            </w:r>
            <w:r w:rsidR="00120572">
              <w:t>do</w:t>
            </w:r>
            <w:r w:rsidR="00120572" w:rsidRPr="00120572">
              <w:t xml:space="preserve"> in their normal everyday life such as running, biking,</w:t>
            </w:r>
            <w:r w:rsidR="00120572">
              <w:t xml:space="preserve"> and</w:t>
            </w:r>
            <w:r w:rsidR="00120572" w:rsidRPr="00120572">
              <w:t xml:space="preserve"> </w:t>
            </w:r>
            <w:r w:rsidR="00A6645D">
              <w:t>other physical activities</w:t>
            </w:r>
            <w:r w:rsidR="00120572" w:rsidRPr="00120572">
              <w:t xml:space="preserve">. </w:t>
            </w:r>
            <w:r w:rsidR="00120572">
              <w:t>C.S.</w:t>
            </w:r>
            <w:r>
              <w:t xml:space="preserve">H.B. 2636 </w:t>
            </w:r>
            <w:r w:rsidR="00120572">
              <w:t xml:space="preserve">seeks to ensure that the </w:t>
            </w:r>
            <w:r w:rsidR="00916261">
              <w:t xml:space="preserve">camping </w:t>
            </w:r>
            <w:r w:rsidR="00120572">
              <w:t>industry remains vibrant in Texas by providing</w:t>
            </w:r>
            <w:r w:rsidRPr="00126239">
              <w:t xml:space="preserve"> certain liability </w:t>
            </w:r>
            <w:r w:rsidR="00120572">
              <w:t xml:space="preserve">protections to </w:t>
            </w:r>
            <w:r w:rsidR="00916261">
              <w:t xml:space="preserve">the owner of an </w:t>
            </w:r>
            <w:r w:rsidR="00120572">
              <w:t xml:space="preserve">RV park </w:t>
            </w:r>
            <w:r w:rsidR="00916261">
              <w:t xml:space="preserve">or </w:t>
            </w:r>
            <w:r w:rsidR="00120572">
              <w:t xml:space="preserve">campground </w:t>
            </w:r>
            <w:r w:rsidRPr="00126239">
              <w:t xml:space="preserve">for damages </w:t>
            </w:r>
            <w:r>
              <w:t xml:space="preserve">or injuries </w:t>
            </w:r>
            <w:r w:rsidRPr="00126239">
              <w:t>resulting from risks inherent to camping</w:t>
            </w:r>
            <w:r>
              <w:t xml:space="preserve"> </w:t>
            </w:r>
            <w:r>
              <w:t xml:space="preserve">that are beyond the </w:t>
            </w:r>
            <w:r w:rsidR="0040492F">
              <w:t xml:space="preserve">owner's </w:t>
            </w:r>
            <w:r>
              <w:t>control.</w:t>
            </w:r>
          </w:p>
          <w:p w14:paraId="40EC2BBF" w14:textId="77777777" w:rsidR="008423E4" w:rsidRPr="00E26B13" w:rsidRDefault="008423E4" w:rsidP="00E37A07">
            <w:pPr>
              <w:rPr>
                <w:b/>
              </w:rPr>
            </w:pPr>
          </w:p>
        </w:tc>
      </w:tr>
      <w:tr w:rsidR="00CD5756" w14:paraId="2518126B" w14:textId="77777777" w:rsidTr="00345119">
        <w:tc>
          <w:tcPr>
            <w:tcW w:w="9576" w:type="dxa"/>
          </w:tcPr>
          <w:p w14:paraId="09665079" w14:textId="77777777" w:rsidR="0017725B" w:rsidRDefault="00364F55" w:rsidP="00E37A0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529E6C8" w14:textId="77777777" w:rsidR="0017725B" w:rsidRDefault="0017725B" w:rsidP="00E37A07">
            <w:pPr>
              <w:rPr>
                <w:b/>
                <w:u w:val="single"/>
              </w:rPr>
            </w:pPr>
          </w:p>
          <w:p w14:paraId="7F91CDE9" w14:textId="17955EE8" w:rsidR="001151E8" w:rsidRPr="001151E8" w:rsidRDefault="00364F55" w:rsidP="00E37A07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1BE11610" w14:textId="77777777" w:rsidR="0017725B" w:rsidRPr="0017725B" w:rsidRDefault="0017725B" w:rsidP="00E37A07">
            <w:pPr>
              <w:rPr>
                <w:b/>
                <w:u w:val="single"/>
              </w:rPr>
            </w:pPr>
          </w:p>
        </w:tc>
      </w:tr>
      <w:tr w:rsidR="00CD5756" w14:paraId="2218DF99" w14:textId="77777777" w:rsidTr="00345119">
        <w:tc>
          <w:tcPr>
            <w:tcW w:w="9576" w:type="dxa"/>
          </w:tcPr>
          <w:p w14:paraId="27876BF6" w14:textId="77777777" w:rsidR="008423E4" w:rsidRPr="00A8133F" w:rsidRDefault="00364F55" w:rsidP="00E37A0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1459516" w14:textId="77777777" w:rsidR="008423E4" w:rsidRDefault="008423E4" w:rsidP="00E37A07"/>
          <w:p w14:paraId="0E8E735A" w14:textId="09EBEBC9" w:rsidR="001151E8" w:rsidRDefault="00364F55" w:rsidP="00E37A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69C76920" w14:textId="77777777" w:rsidR="008423E4" w:rsidRPr="00E21FDC" w:rsidRDefault="008423E4" w:rsidP="00E37A07">
            <w:pPr>
              <w:rPr>
                <w:b/>
              </w:rPr>
            </w:pPr>
          </w:p>
        </w:tc>
      </w:tr>
      <w:tr w:rsidR="00CD5756" w14:paraId="37867CDD" w14:textId="77777777" w:rsidTr="00345119">
        <w:tc>
          <w:tcPr>
            <w:tcW w:w="9576" w:type="dxa"/>
          </w:tcPr>
          <w:p w14:paraId="2F46A46F" w14:textId="77777777" w:rsidR="008423E4" w:rsidRPr="00A8133F" w:rsidRDefault="00364F55" w:rsidP="00E37A0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41F0479" w14:textId="77777777" w:rsidR="008423E4" w:rsidRDefault="008423E4" w:rsidP="00E37A07"/>
          <w:p w14:paraId="74FB811A" w14:textId="2192001D" w:rsidR="009C36CD" w:rsidRDefault="00364F55" w:rsidP="00E37A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1151E8">
              <w:t xml:space="preserve">H.B. 2636 amends the </w:t>
            </w:r>
            <w:r w:rsidR="001151E8" w:rsidRPr="001151E8">
              <w:t>Civil Practice and Remedies Code</w:t>
            </w:r>
            <w:r w:rsidR="00E27DFD">
              <w:t xml:space="preserve"> to exempt a</w:t>
            </w:r>
            <w:r w:rsidR="00A53519">
              <w:t xml:space="preserve"> person who owns or operates a</w:t>
            </w:r>
            <w:r w:rsidR="00E27DFD">
              <w:t xml:space="preserve"> </w:t>
            </w:r>
            <w:r w:rsidR="00E27DFD" w:rsidRPr="00E27DFD">
              <w:t xml:space="preserve">recreational vehicle park or campground </w:t>
            </w:r>
            <w:r w:rsidR="00E27DFD">
              <w:t xml:space="preserve">from liability to any person </w:t>
            </w:r>
            <w:r w:rsidR="00E27DFD" w:rsidRPr="00E27DFD">
              <w:t xml:space="preserve">for a recreational vehicle park or campground participant injury or damages arising out of a recreational vehicle park or campground participant injury if, at the time of the recreational vehicle park or campground activity from which the injury arises, </w:t>
            </w:r>
            <w:r w:rsidR="00E27DFD">
              <w:t>a</w:t>
            </w:r>
            <w:r w:rsidR="00E27DFD" w:rsidRPr="00E27DFD">
              <w:t xml:space="preserve"> warning sign was posted </w:t>
            </w:r>
            <w:r w:rsidR="00A6645D">
              <w:t>an</w:t>
            </w:r>
            <w:r w:rsidR="0040492F">
              <w:t>d</w:t>
            </w:r>
            <w:r w:rsidR="00A6645D">
              <w:t xml:space="preserve"> maintained </w:t>
            </w:r>
            <w:r w:rsidR="00E27DFD" w:rsidRPr="00E27DFD">
              <w:t>in</w:t>
            </w:r>
            <w:r w:rsidR="00E27DFD">
              <w:t xml:space="preserve"> </w:t>
            </w:r>
            <w:r w:rsidR="00E27DFD" w:rsidRPr="00E27DFD">
              <w:t>a clearly visible location on or near the recreational vehicle park or campground</w:t>
            </w:r>
            <w:r w:rsidR="00DD7FC9">
              <w:t xml:space="preserve"> alerting persons to the fact that state law limits the</w:t>
            </w:r>
            <w:r w:rsidR="00A53519">
              <w:t xml:space="preserve"> owner's or operator's</w:t>
            </w:r>
            <w:r w:rsidR="00DD7FC9">
              <w:t xml:space="preserve"> liability </w:t>
            </w:r>
            <w:r w:rsidR="00DD7FC9" w:rsidRPr="00DD7FC9">
              <w:t>for injuries or death of a recreational vehicle park or campground participant resulting from a recreational vehicle park or campground activity</w:t>
            </w:r>
            <w:r w:rsidR="00E27DFD" w:rsidRPr="00E27DFD">
              <w:t>.</w:t>
            </w:r>
            <w:r w:rsidR="00DD7FC9" w:rsidRPr="00AD3330">
              <w:t xml:space="preserve"> </w:t>
            </w:r>
            <w:r w:rsidR="00DD7FC9">
              <w:t xml:space="preserve">This </w:t>
            </w:r>
            <w:r w:rsidR="00DD7FC9" w:rsidRPr="00AD3330">
              <w:t xml:space="preserve">limitation on liability </w:t>
            </w:r>
            <w:r w:rsidR="00DD7FC9">
              <w:t>is</w:t>
            </w:r>
            <w:r w:rsidR="00DD7FC9" w:rsidRPr="00AD3330">
              <w:t xml:space="preserve"> in addition to other limitations of liability.</w:t>
            </w:r>
          </w:p>
          <w:p w14:paraId="2CE7250D" w14:textId="3A8531E0" w:rsidR="001151E8" w:rsidRDefault="001151E8" w:rsidP="00E37A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019977A" w14:textId="34E514E7" w:rsidR="00D30BC9" w:rsidRDefault="00364F55" w:rsidP="00E37A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86481">
              <w:t>C.S.</w:t>
            </w:r>
            <w:r w:rsidR="001151E8">
              <w:t>H.B. 2636</w:t>
            </w:r>
            <w:r w:rsidR="00C82B04">
              <w:t xml:space="preserve"> expressly does not limit </w:t>
            </w:r>
            <w:r w:rsidR="00C82B04" w:rsidRPr="00C82B04">
              <w:t>liability for an injury</w:t>
            </w:r>
            <w:r w:rsidRPr="00AD3330">
              <w:t xml:space="preserve"> intentionally caused by the recreational vehicle park or campground entity</w:t>
            </w:r>
            <w:r>
              <w:t xml:space="preserve"> or for an injury </w:t>
            </w:r>
            <w:r w:rsidR="00C82B04" w:rsidRPr="00C82B04">
              <w:t>proximately caused by</w:t>
            </w:r>
            <w:r>
              <w:t xml:space="preserve"> one of the following</w:t>
            </w:r>
            <w:r w:rsidR="00C82B04" w:rsidRPr="00C82B04">
              <w:t>:</w:t>
            </w:r>
          </w:p>
          <w:p w14:paraId="332A340A" w14:textId="5A42137A" w:rsidR="00D30BC9" w:rsidRDefault="00364F55" w:rsidP="00E37A07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 w:rsidRPr="00C82B04">
              <w:t xml:space="preserve">the entity's negligence </w:t>
            </w:r>
            <w:r w:rsidR="0043096A">
              <w:t>with regard</w:t>
            </w:r>
            <w:r w:rsidRPr="00C82B04">
              <w:t xml:space="preserve"> for the </w:t>
            </w:r>
            <w:r>
              <w:t xml:space="preserve">participant's </w:t>
            </w:r>
            <w:r w:rsidRPr="00C82B04">
              <w:t>safety;</w:t>
            </w:r>
          </w:p>
          <w:p w14:paraId="27D1EA1C" w14:textId="66E9007B" w:rsidR="00D30BC9" w:rsidRDefault="00364F55" w:rsidP="00E37A07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 w:rsidRPr="00C82B04">
              <w:t>a potentially dangerous condition on the land, facili</w:t>
            </w:r>
            <w:r w:rsidRPr="00C82B04">
              <w:t>ties, or equipment used in the activity, of which the entity had actual knowledge or reasonably should have known; or</w:t>
            </w:r>
          </w:p>
          <w:p w14:paraId="7C201BC0" w14:textId="005D5027" w:rsidR="00C82B04" w:rsidRDefault="00364F55" w:rsidP="00E37A07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 w:rsidRPr="00C82B04">
              <w:t>the entity's failure to train or improper training of an employee actively involved in a recreational vehicle park or campground activity</w:t>
            </w:r>
            <w:r w:rsidR="00D30BC9">
              <w:t>.</w:t>
            </w:r>
          </w:p>
          <w:p w14:paraId="273B481D" w14:textId="68135E67" w:rsidR="0069153F" w:rsidRDefault="0069153F" w:rsidP="006B6D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A199073" w14:textId="2C35CCFA" w:rsidR="0069153F" w:rsidRDefault="00364F55" w:rsidP="006B6D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86481">
              <w:t>C.S.</w:t>
            </w:r>
            <w:r>
              <w:t>H.B. 2636</w:t>
            </w:r>
            <w:r w:rsidR="00E574C6">
              <w:t xml:space="preserve"> defines the following terms: </w:t>
            </w:r>
          </w:p>
          <w:p w14:paraId="707CBB1E" w14:textId="332090F0" w:rsidR="00E574C6" w:rsidRDefault="00364F55" w:rsidP="00E37A07">
            <w:pPr>
              <w:pStyle w:val="Header"/>
              <w:numPr>
                <w:ilvl w:val="0"/>
                <w:numId w:val="4"/>
              </w:numPr>
              <w:spacing w:before="120" w:after="120"/>
              <w:jc w:val="both"/>
            </w:pPr>
            <w:r>
              <w:t>"campground" as a commercial property designed to provide cabins for transient guest use or areas for locating recreational vehicles or tents for transient guest use;</w:t>
            </w:r>
          </w:p>
          <w:p w14:paraId="50B2CDE6" w14:textId="05848949" w:rsidR="00E574C6" w:rsidRPr="00E574C6" w:rsidRDefault="00364F55" w:rsidP="00E37A07">
            <w:pPr>
              <w:pStyle w:val="Header"/>
              <w:numPr>
                <w:ilvl w:val="0"/>
                <w:numId w:val="4"/>
              </w:numPr>
              <w:spacing w:before="120" w:after="120"/>
              <w:jc w:val="both"/>
            </w:pPr>
            <w:r>
              <w:t xml:space="preserve">"recreational vehicle park" </w:t>
            </w:r>
            <w:r w:rsidR="00504218">
              <w:t xml:space="preserve">by reference </w:t>
            </w:r>
            <w:r>
              <w:t>as</w:t>
            </w:r>
            <w:r>
              <w:t xml:space="preserve"> </w:t>
            </w:r>
            <w:r w:rsidR="00411B3D">
              <w:t xml:space="preserve">a commercial property </w:t>
            </w:r>
            <w:r w:rsidRPr="00E574C6">
              <w:t>that is designed primarily for recreational vehicle transient guest use for which fees for site service connections for recreational vehicles</w:t>
            </w:r>
            <w:r w:rsidR="00411B3D">
              <w:t xml:space="preserve"> </w:t>
            </w:r>
            <w:r w:rsidRPr="00E574C6">
              <w:t>are paid daily, weekly, or monthly</w:t>
            </w:r>
            <w:r w:rsidR="00411B3D">
              <w:t>;</w:t>
            </w:r>
          </w:p>
          <w:p w14:paraId="07226734" w14:textId="2E3FF6F1" w:rsidR="00E574C6" w:rsidRDefault="00364F55" w:rsidP="00E37A07">
            <w:pPr>
              <w:pStyle w:val="Header"/>
              <w:numPr>
                <w:ilvl w:val="0"/>
                <w:numId w:val="4"/>
              </w:numPr>
              <w:spacing w:before="120" w:after="120"/>
              <w:jc w:val="both"/>
            </w:pPr>
            <w:r>
              <w:t>"recreational vehicle park or campground activity" as a</w:t>
            </w:r>
            <w:r>
              <w:t>n activity at a recreational vehicle park or campground for recreational or educational purposes</w:t>
            </w:r>
            <w:r w:rsidR="00411B3D">
              <w:t>;</w:t>
            </w:r>
          </w:p>
          <w:p w14:paraId="56D29B5C" w14:textId="0B28AD94" w:rsidR="00E574C6" w:rsidRDefault="00364F55" w:rsidP="00E37A07">
            <w:pPr>
              <w:pStyle w:val="Header"/>
              <w:numPr>
                <w:ilvl w:val="0"/>
                <w:numId w:val="4"/>
              </w:numPr>
              <w:spacing w:before="120" w:after="120"/>
              <w:jc w:val="both"/>
            </w:pPr>
            <w:r>
              <w:t xml:space="preserve">"recreational vehicle park or campground participant" as an individual, other than an employee of </w:t>
            </w:r>
            <w:r w:rsidR="00A53519">
              <w:t>the</w:t>
            </w:r>
            <w:r>
              <w:t xml:space="preserve"> recreational vehicle park or campground, who engages in </w:t>
            </w:r>
            <w:r>
              <w:t>a recreational vehicle park or campground activity; and</w:t>
            </w:r>
          </w:p>
          <w:p w14:paraId="2010477A" w14:textId="14A80987" w:rsidR="00E574C6" w:rsidRDefault="00364F55" w:rsidP="00E37A0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 xml:space="preserve">"recreational vehicle park or campground participant injury" as an injury sustained by a recreational vehicle park or campground participant, including bodily injury, emotional distress, death, </w:t>
            </w:r>
            <w:r>
              <w:t>property damage, or any other loss arising from the person's conduct of or participation in a recreational vehicle park or campground activity.</w:t>
            </w:r>
          </w:p>
          <w:p w14:paraId="4FB84FFB" w14:textId="6CE135A2" w:rsidR="001151E8" w:rsidRDefault="001151E8" w:rsidP="00E37A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6D385CF" w14:textId="4D716D03" w:rsidR="001151E8" w:rsidRDefault="00364F55" w:rsidP="00E37A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86481">
              <w:t>C.S.</w:t>
            </w:r>
            <w:r>
              <w:t xml:space="preserve">H.B. 2636 </w:t>
            </w:r>
            <w:r w:rsidRPr="001151E8">
              <w:t>applies only to a cause of action that accrues on or after the</w:t>
            </w:r>
            <w:r>
              <w:t xml:space="preserve"> bill's</w:t>
            </w:r>
            <w:r w:rsidRPr="001151E8">
              <w:t xml:space="preserve"> effective date</w:t>
            </w:r>
            <w:r>
              <w:t>.</w:t>
            </w:r>
          </w:p>
          <w:p w14:paraId="6F94B8E8" w14:textId="77777777" w:rsidR="008423E4" w:rsidRPr="00835628" w:rsidRDefault="008423E4" w:rsidP="00E37A07">
            <w:pPr>
              <w:rPr>
                <w:b/>
              </w:rPr>
            </w:pPr>
          </w:p>
        </w:tc>
      </w:tr>
      <w:tr w:rsidR="00CD5756" w14:paraId="263C70A8" w14:textId="77777777" w:rsidTr="00345119">
        <w:tc>
          <w:tcPr>
            <w:tcW w:w="9576" w:type="dxa"/>
          </w:tcPr>
          <w:p w14:paraId="3D71095F" w14:textId="77777777" w:rsidR="008423E4" w:rsidRPr="00A8133F" w:rsidRDefault="00364F55" w:rsidP="00E37A0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</w:t>
            </w:r>
            <w:r w:rsidRPr="009C1E9A">
              <w:rPr>
                <w:b/>
                <w:u w:val="single"/>
              </w:rPr>
              <w:t xml:space="preserve"> DATE</w:t>
            </w:r>
            <w:r>
              <w:rPr>
                <w:b/>
              </w:rPr>
              <w:t xml:space="preserve"> </w:t>
            </w:r>
          </w:p>
          <w:p w14:paraId="3481483F" w14:textId="77777777" w:rsidR="008423E4" w:rsidRDefault="008423E4" w:rsidP="00E37A07"/>
          <w:p w14:paraId="5EBD5E58" w14:textId="3AC13850" w:rsidR="008423E4" w:rsidRPr="003624F2" w:rsidRDefault="00364F55" w:rsidP="00E37A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21D93E6C" w14:textId="77777777" w:rsidR="008423E4" w:rsidRPr="00233FDB" w:rsidRDefault="008423E4" w:rsidP="00E37A07">
            <w:pPr>
              <w:rPr>
                <w:b/>
              </w:rPr>
            </w:pPr>
          </w:p>
        </w:tc>
      </w:tr>
      <w:tr w:rsidR="00CD5756" w14:paraId="1B804C45" w14:textId="77777777" w:rsidTr="00345119">
        <w:tc>
          <w:tcPr>
            <w:tcW w:w="9576" w:type="dxa"/>
          </w:tcPr>
          <w:p w14:paraId="0EF20295" w14:textId="21B31D57" w:rsidR="008722A7" w:rsidRDefault="00364F55" w:rsidP="00E37A0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F79446E" w14:textId="77777777" w:rsidR="00E37A07" w:rsidRDefault="00E37A07" w:rsidP="00E37A07">
            <w:pPr>
              <w:jc w:val="both"/>
              <w:rPr>
                <w:b/>
                <w:u w:val="single"/>
              </w:rPr>
            </w:pPr>
          </w:p>
          <w:p w14:paraId="2C74E4F5" w14:textId="0248FD55" w:rsidR="00C63A4D" w:rsidRPr="00C63A4D" w:rsidRDefault="00364F55" w:rsidP="00E37A07">
            <w:pPr>
              <w:jc w:val="both"/>
            </w:pPr>
            <w:r>
              <w:t>C.S.H.B. 2636 differs from the introduced in minor or nonsubstantive</w:t>
            </w:r>
            <w:r>
              <w:t xml:space="preserve"> ways by conforming to certain bill drafting conventions.</w:t>
            </w:r>
          </w:p>
        </w:tc>
      </w:tr>
      <w:tr w:rsidR="00CD5756" w14:paraId="32B93150" w14:textId="77777777" w:rsidTr="00345119">
        <w:tc>
          <w:tcPr>
            <w:tcW w:w="9576" w:type="dxa"/>
          </w:tcPr>
          <w:p w14:paraId="63078654" w14:textId="77777777" w:rsidR="008722A7" w:rsidRPr="009C1E9A" w:rsidRDefault="008722A7" w:rsidP="00E37A07">
            <w:pPr>
              <w:rPr>
                <w:b/>
                <w:u w:val="single"/>
              </w:rPr>
            </w:pPr>
          </w:p>
        </w:tc>
      </w:tr>
      <w:tr w:rsidR="00CD5756" w14:paraId="7EEE2EAD" w14:textId="77777777" w:rsidTr="00345119">
        <w:tc>
          <w:tcPr>
            <w:tcW w:w="9576" w:type="dxa"/>
          </w:tcPr>
          <w:p w14:paraId="3D1237A9" w14:textId="77777777" w:rsidR="008722A7" w:rsidRPr="00605A29" w:rsidRDefault="008722A7" w:rsidP="00E37A07">
            <w:pPr>
              <w:jc w:val="both"/>
            </w:pPr>
          </w:p>
        </w:tc>
      </w:tr>
    </w:tbl>
    <w:p w14:paraId="77BA9214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4B82FA2F" w14:textId="7777777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BE819" w14:textId="77777777" w:rsidR="00000000" w:rsidRDefault="00364F55">
      <w:r>
        <w:separator/>
      </w:r>
    </w:p>
  </w:endnote>
  <w:endnote w:type="continuationSeparator" w:id="0">
    <w:p w14:paraId="1B66BC28" w14:textId="77777777" w:rsidR="00000000" w:rsidRDefault="0036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C22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D5756" w14:paraId="1A5E7ED6" w14:textId="77777777" w:rsidTr="009C1E9A">
      <w:trPr>
        <w:cantSplit/>
      </w:trPr>
      <w:tc>
        <w:tcPr>
          <w:tcW w:w="0" w:type="pct"/>
        </w:tcPr>
        <w:p w14:paraId="64DBA68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990327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BED5D5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C21D4F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8F3570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D5756" w14:paraId="596DC329" w14:textId="77777777" w:rsidTr="009C1E9A">
      <w:trPr>
        <w:cantSplit/>
      </w:trPr>
      <w:tc>
        <w:tcPr>
          <w:tcW w:w="0" w:type="pct"/>
        </w:tcPr>
        <w:p w14:paraId="3634A2A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C516C8A" w14:textId="452B6618" w:rsidR="00EC379B" w:rsidRPr="009C1E9A" w:rsidRDefault="00364F5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21824-D</w:t>
          </w:r>
        </w:p>
      </w:tc>
      <w:tc>
        <w:tcPr>
          <w:tcW w:w="2453" w:type="pct"/>
        </w:tcPr>
        <w:p w14:paraId="7ABDAB9E" w14:textId="20D676BA" w:rsidR="00EC379B" w:rsidRDefault="00364F5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37A07">
            <w:t>23.94.532</w:t>
          </w:r>
          <w:r>
            <w:fldChar w:fldCharType="end"/>
          </w:r>
        </w:p>
      </w:tc>
    </w:tr>
    <w:tr w:rsidR="00CD5756" w14:paraId="593E409A" w14:textId="77777777" w:rsidTr="009C1E9A">
      <w:trPr>
        <w:cantSplit/>
      </w:trPr>
      <w:tc>
        <w:tcPr>
          <w:tcW w:w="0" w:type="pct"/>
        </w:tcPr>
        <w:p w14:paraId="62E4D1F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F58A56E" w14:textId="1CCB2C62" w:rsidR="00EC379B" w:rsidRPr="009C1E9A" w:rsidRDefault="00364F5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19856</w:t>
          </w:r>
        </w:p>
      </w:tc>
      <w:tc>
        <w:tcPr>
          <w:tcW w:w="2453" w:type="pct"/>
        </w:tcPr>
        <w:p w14:paraId="06CF7AF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0AC9E3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D5756" w14:paraId="6C3BCB0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4413C9F" w14:textId="77777777" w:rsidR="00EC379B" w:rsidRDefault="00364F5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5BF701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CE930A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551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4DBC" w14:textId="77777777" w:rsidR="00000000" w:rsidRDefault="00364F55">
      <w:r>
        <w:separator/>
      </w:r>
    </w:p>
  </w:footnote>
  <w:footnote w:type="continuationSeparator" w:id="0">
    <w:p w14:paraId="5602B287" w14:textId="77777777" w:rsidR="00000000" w:rsidRDefault="00364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4E2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466F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734E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0213"/>
    <w:multiLevelType w:val="hybridMultilevel"/>
    <w:tmpl w:val="A424A698"/>
    <w:lvl w:ilvl="0" w:tplc="8166B6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BA86F9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036816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008FD4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D2923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F1A29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5D6F5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108C2D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DD8AF9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A36996"/>
    <w:multiLevelType w:val="hybridMultilevel"/>
    <w:tmpl w:val="FD7C02E8"/>
    <w:lvl w:ilvl="0" w:tplc="18AE3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7E47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7C0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A5A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EBB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923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FEC2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02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A4F9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52AEE"/>
    <w:multiLevelType w:val="hybridMultilevel"/>
    <w:tmpl w:val="68CA71DE"/>
    <w:lvl w:ilvl="0" w:tplc="6C543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5492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EA9C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E0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A0F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126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765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88D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2221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B489C"/>
    <w:multiLevelType w:val="hybridMultilevel"/>
    <w:tmpl w:val="BC3282B6"/>
    <w:lvl w:ilvl="0" w:tplc="1A12ACD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E4EC3B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BED22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218D5B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E9AD6A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53659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D16FB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FE386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7E019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522522"/>
    <w:multiLevelType w:val="hybridMultilevel"/>
    <w:tmpl w:val="7654FABE"/>
    <w:lvl w:ilvl="0" w:tplc="0A222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085F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34B8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A58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804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A06F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A0A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C1C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D02E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5464A"/>
    <w:multiLevelType w:val="hybridMultilevel"/>
    <w:tmpl w:val="7EE0C312"/>
    <w:lvl w:ilvl="0" w:tplc="7EF614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B4A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8254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AA1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EF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C98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40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AFF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86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818292">
    <w:abstractNumId w:val="2"/>
  </w:num>
  <w:num w:numId="2" w16cid:durableId="432211760">
    <w:abstractNumId w:val="5"/>
  </w:num>
  <w:num w:numId="3" w16cid:durableId="142242197">
    <w:abstractNumId w:val="3"/>
  </w:num>
  <w:num w:numId="4" w16cid:durableId="521164892">
    <w:abstractNumId w:val="4"/>
  </w:num>
  <w:num w:numId="5" w16cid:durableId="420565291">
    <w:abstractNumId w:val="0"/>
  </w:num>
  <w:num w:numId="6" w16cid:durableId="1145510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E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0A58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DC6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45C0"/>
    <w:rsid w:val="001151E8"/>
    <w:rsid w:val="00115EE9"/>
    <w:rsid w:val="001169F9"/>
    <w:rsid w:val="00120572"/>
    <w:rsid w:val="00120797"/>
    <w:rsid w:val="001218D2"/>
    <w:rsid w:val="0012371B"/>
    <w:rsid w:val="001245C8"/>
    <w:rsid w:val="00124653"/>
    <w:rsid w:val="001247C5"/>
    <w:rsid w:val="00126239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031E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68C7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088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4F55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3B30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492F"/>
    <w:rsid w:val="004101E4"/>
    <w:rsid w:val="00410661"/>
    <w:rsid w:val="004108C3"/>
    <w:rsid w:val="00410B33"/>
    <w:rsid w:val="00411B3D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096A"/>
    <w:rsid w:val="0043190E"/>
    <w:rsid w:val="004324E9"/>
    <w:rsid w:val="004350F3"/>
    <w:rsid w:val="00436980"/>
    <w:rsid w:val="00441016"/>
    <w:rsid w:val="00441F2F"/>
    <w:rsid w:val="0044228B"/>
    <w:rsid w:val="00444928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0AB5"/>
    <w:rsid w:val="005017AC"/>
    <w:rsid w:val="00501E8A"/>
    <w:rsid w:val="00504218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A29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53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DF2"/>
    <w:rsid w:val="006B7A2E"/>
    <w:rsid w:val="006C4709"/>
    <w:rsid w:val="006D131B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285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6A24"/>
    <w:rsid w:val="00764786"/>
    <w:rsid w:val="00766E12"/>
    <w:rsid w:val="0077098E"/>
    <w:rsid w:val="00771287"/>
    <w:rsid w:val="0077149E"/>
    <w:rsid w:val="00775675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2A7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7042"/>
    <w:rsid w:val="00890B59"/>
    <w:rsid w:val="008930D7"/>
    <w:rsid w:val="008947A7"/>
    <w:rsid w:val="00897E80"/>
    <w:rsid w:val="008A04FA"/>
    <w:rsid w:val="008A2E42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6261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481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519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645D"/>
    <w:rsid w:val="00A70E35"/>
    <w:rsid w:val="00A720DC"/>
    <w:rsid w:val="00A803CF"/>
    <w:rsid w:val="00A8133F"/>
    <w:rsid w:val="00A81859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3330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56B1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A4D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2B04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5756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0BC9"/>
    <w:rsid w:val="00D35728"/>
    <w:rsid w:val="00D359A7"/>
    <w:rsid w:val="00D37BCF"/>
    <w:rsid w:val="00D40F93"/>
    <w:rsid w:val="00D42277"/>
    <w:rsid w:val="00D43C59"/>
    <w:rsid w:val="00D44ADE"/>
    <w:rsid w:val="00D45303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548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01B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413B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D7FC9"/>
    <w:rsid w:val="00DE10C6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DFD"/>
    <w:rsid w:val="00E27E5A"/>
    <w:rsid w:val="00E31135"/>
    <w:rsid w:val="00E317BA"/>
    <w:rsid w:val="00E3469B"/>
    <w:rsid w:val="00E3679D"/>
    <w:rsid w:val="00E3795D"/>
    <w:rsid w:val="00E37A07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74C6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780E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1574D1-9C49-4083-9372-AC2D8069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151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51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51E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5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51E8"/>
    <w:rPr>
      <w:b/>
      <w:bCs/>
    </w:rPr>
  </w:style>
  <w:style w:type="paragraph" w:styleId="Revision">
    <w:name w:val="Revision"/>
    <w:hidden/>
    <w:uiPriority w:val="99"/>
    <w:semiHidden/>
    <w:rsid w:val="00887042"/>
    <w:rPr>
      <w:sz w:val="24"/>
      <w:szCs w:val="24"/>
    </w:rPr>
  </w:style>
  <w:style w:type="character" w:styleId="Hyperlink">
    <w:name w:val="Hyperlink"/>
    <w:basedOn w:val="DefaultParagraphFont"/>
    <w:unhideWhenUsed/>
    <w:rsid w:val="00E574C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74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56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3562</Characters>
  <Application>Microsoft Office Word</Application>
  <DocSecurity>4</DocSecurity>
  <Lines>82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HB02636 (Committee Report (Substituted))</vt:lpstr>
    </vt:vector>
  </TitlesOfParts>
  <Company>State of Texas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21824</dc:subject>
  <dc:creator>State of Texas</dc:creator>
  <dc:description>HB 2636 by Murr-(H)Judiciary &amp; Civil Jurisprudence (Substitute Document Number: 88R 19856)</dc:description>
  <cp:lastModifiedBy>Stacey Nicchio</cp:lastModifiedBy>
  <cp:revision>2</cp:revision>
  <cp:lastPrinted>2003-11-26T17:21:00Z</cp:lastPrinted>
  <dcterms:created xsi:type="dcterms:W3CDTF">2023-04-11T23:24:00Z</dcterms:created>
  <dcterms:modified xsi:type="dcterms:W3CDTF">2023-04-11T23:24:00Z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23.94.532</vt:lpwstr>
  </property>
</Properties>
</file>