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D4BE5" w14:paraId="1F19D61E" w14:textId="77777777" w:rsidTr="00345119">
        <w:tc>
          <w:tcPr>
            <w:tcW w:w="9576" w:type="dxa"/>
            <w:noWrap/>
          </w:tcPr>
          <w:p w14:paraId="0CC28FF8" w14:textId="77777777" w:rsidR="008423E4" w:rsidRPr="0022177D" w:rsidRDefault="00A015AB" w:rsidP="00CB3EA4">
            <w:pPr>
              <w:pStyle w:val="Heading1"/>
            </w:pPr>
            <w:r w:rsidRPr="00631897">
              <w:t>BILL ANALYSIS</w:t>
            </w:r>
          </w:p>
        </w:tc>
      </w:tr>
    </w:tbl>
    <w:p w14:paraId="3D37F924" w14:textId="77777777" w:rsidR="008423E4" w:rsidRPr="00CB3EA4" w:rsidRDefault="008423E4" w:rsidP="00CB3EA4">
      <w:pPr>
        <w:jc w:val="center"/>
        <w:rPr>
          <w:sz w:val="22"/>
          <w:szCs w:val="22"/>
        </w:rPr>
      </w:pPr>
    </w:p>
    <w:p w14:paraId="275DB56B" w14:textId="77777777" w:rsidR="008423E4" w:rsidRPr="00CB3EA4" w:rsidRDefault="008423E4" w:rsidP="00CB3EA4">
      <w:pPr>
        <w:rPr>
          <w:sz w:val="22"/>
          <w:szCs w:val="22"/>
        </w:rPr>
      </w:pPr>
    </w:p>
    <w:p w14:paraId="51058D75" w14:textId="77777777" w:rsidR="008423E4" w:rsidRPr="00CB3EA4" w:rsidRDefault="008423E4" w:rsidP="00CB3EA4">
      <w:pPr>
        <w:tabs>
          <w:tab w:val="right" w:pos="9360"/>
        </w:tabs>
        <w:rPr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D4BE5" w14:paraId="60389B3E" w14:textId="77777777" w:rsidTr="00345119">
        <w:tc>
          <w:tcPr>
            <w:tcW w:w="9576" w:type="dxa"/>
          </w:tcPr>
          <w:p w14:paraId="5D109533" w14:textId="1038A6EA" w:rsidR="008423E4" w:rsidRPr="00861995" w:rsidRDefault="00A015AB" w:rsidP="00CB3EA4">
            <w:pPr>
              <w:jc w:val="right"/>
            </w:pPr>
            <w:r>
              <w:t>C.S.H.B. 2639</w:t>
            </w:r>
          </w:p>
        </w:tc>
      </w:tr>
      <w:tr w:rsidR="00AD4BE5" w14:paraId="3BF353B1" w14:textId="77777777" w:rsidTr="00345119">
        <w:tc>
          <w:tcPr>
            <w:tcW w:w="9576" w:type="dxa"/>
          </w:tcPr>
          <w:p w14:paraId="76A891EE" w14:textId="79D1C13D" w:rsidR="008423E4" w:rsidRPr="00861995" w:rsidRDefault="00A015AB" w:rsidP="00CB3EA4">
            <w:pPr>
              <w:jc w:val="right"/>
            </w:pPr>
            <w:r>
              <w:t xml:space="preserve">By: </w:t>
            </w:r>
            <w:r w:rsidR="003229FA">
              <w:t>Clardy</w:t>
            </w:r>
          </w:p>
        </w:tc>
      </w:tr>
      <w:tr w:rsidR="00AD4BE5" w14:paraId="74E4B6E2" w14:textId="77777777" w:rsidTr="00345119">
        <w:tc>
          <w:tcPr>
            <w:tcW w:w="9576" w:type="dxa"/>
          </w:tcPr>
          <w:p w14:paraId="00DE8D70" w14:textId="68CE41B4" w:rsidR="008423E4" w:rsidRPr="00861995" w:rsidRDefault="00A015AB" w:rsidP="00CB3EA4">
            <w:pPr>
              <w:jc w:val="right"/>
            </w:pPr>
            <w:r>
              <w:t>Higher Education</w:t>
            </w:r>
          </w:p>
        </w:tc>
      </w:tr>
      <w:tr w:rsidR="00AD4BE5" w14:paraId="5BD05BF3" w14:textId="77777777" w:rsidTr="00345119">
        <w:tc>
          <w:tcPr>
            <w:tcW w:w="9576" w:type="dxa"/>
          </w:tcPr>
          <w:p w14:paraId="0548FAF6" w14:textId="4B576CC3" w:rsidR="008423E4" w:rsidRDefault="00A015AB" w:rsidP="00CB3EA4">
            <w:pPr>
              <w:jc w:val="right"/>
            </w:pPr>
            <w:r>
              <w:t>Committee Report (Substituted)</w:t>
            </w:r>
          </w:p>
        </w:tc>
      </w:tr>
    </w:tbl>
    <w:p w14:paraId="63645609" w14:textId="77777777" w:rsidR="008423E4" w:rsidRPr="00CB3EA4" w:rsidRDefault="008423E4" w:rsidP="00CB3EA4">
      <w:pPr>
        <w:tabs>
          <w:tab w:val="right" w:pos="9360"/>
        </w:tabs>
        <w:rPr>
          <w:sz w:val="22"/>
          <w:szCs w:val="22"/>
        </w:rPr>
      </w:pPr>
    </w:p>
    <w:p w14:paraId="1B459287" w14:textId="77777777" w:rsidR="008423E4" w:rsidRPr="00CB3EA4" w:rsidRDefault="008423E4" w:rsidP="00CB3EA4">
      <w:pPr>
        <w:rPr>
          <w:sz w:val="22"/>
          <w:szCs w:val="22"/>
        </w:rPr>
      </w:pPr>
    </w:p>
    <w:p w14:paraId="5713172A" w14:textId="77777777" w:rsidR="008423E4" w:rsidRPr="00CB3EA4" w:rsidRDefault="008423E4" w:rsidP="00CB3EA4">
      <w:pPr>
        <w:rPr>
          <w:sz w:val="22"/>
          <w:szCs w:val="22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D4BE5" w14:paraId="433498DE" w14:textId="77777777" w:rsidTr="00345119">
        <w:tc>
          <w:tcPr>
            <w:tcW w:w="9576" w:type="dxa"/>
          </w:tcPr>
          <w:p w14:paraId="126C8319" w14:textId="77777777" w:rsidR="008423E4" w:rsidRPr="00A8133F" w:rsidRDefault="00A015AB" w:rsidP="00CB3EA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7EE0B94" w14:textId="77777777" w:rsidR="008423E4" w:rsidRDefault="008423E4" w:rsidP="00CB3EA4"/>
          <w:p w14:paraId="0A9A8957" w14:textId="77777777" w:rsidR="008423E4" w:rsidRDefault="00A015AB" w:rsidP="00CB3EA4">
            <w:pPr>
              <w:pStyle w:val="Header"/>
              <w:jc w:val="both"/>
            </w:pPr>
            <w:r>
              <w:t xml:space="preserve">Over the past year, Stephen F. Austin State University </w:t>
            </w:r>
            <w:r w:rsidR="00E50D1C">
              <w:t xml:space="preserve">(SFA) </w:t>
            </w:r>
            <w:r>
              <w:t>has engaged in an ongoing, comprehensive</w:t>
            </w:r>
            <w:r w:rsidR="00E50D1C">
              <w:t xml:space="preserve"> </w:t>
            </w:r>
            <w:r>
              <w:t xml:space="preserve">process to determine whether to join one of the </w:t>
            </w:r>
            <w:r w:rsidR="00E50D1C">
              <w:t xml:space="preserve">state's </w:t>
            </w:r>
            <w:r>
              <w:t>university systems.</w:t>
            </w:r>
            <w:r w:rsidR="00E50D1C">
              <w:t xml:space="preserve"> </w:t>
            </w:r>
            <w:r w:rsidR="007A1525">
              <w:t xml:space="preserve">The university </w:t>
            </w:r>
            <w:r>
              <w:t>asked each interested system to develop a proposal for SFA to join</w:t>
            </w:r>
            <w:r w:rsidR="00E50D1C">
              <w:t xml:space="preserve"> as a system member and received invitations from</w:t>
            </w:r>
            <w:r>
              <w:t xml:space="preserve"> </w:t>
            </w:r>
            <w:r w:rsidR="00E50D1C">
              <w:t>f</w:t>
            </w:r>
            <w:r>
              <w:t xml:space="preserve">our </w:t>
            </w:r>
            <w:r w:rsidR="00E50D1C">
              <w:t xml:space="preserve">university </w:t>
            </w:r>
            <w:r>
              <w:t xml:space="preserve">systems. </w:t>
            </w:r>
            <w:r w:rsidR="002317A9">
              <w:t>A</w:t>
            </w:r>
            <w:r>
              <w:t>fter consideration of e</w:t>
            </w:r>
            <w:r>
              <w:t>ach proposal and input from</w:t>
            </w:r>
            <w:r w:rsidR="00E50D1C">
              <w:t xml:space="preserve"> </w:t>
            </w:r>
            <w:r>
              <w:t xml:space="preserve">community members, alumni, students, and faculty, the SFA </w:t>
            </w:r>
            <w:r w:rsidR="002317A9">
              <w:t>b</w:t>
            </w:r>
            <w:r>
              <w:t xml:space="preserve">oard of </w:t>
            </w:r>
            <w:r w:rsidR="002317A9">
              <w:t>r</w:t>
            </w:r>
            <w:r>
              <w:t>egents voted</w:t>
            </w:r>
            <w:r w:rsidR="002317A9">
              <w:t xml:space="preserve"> in the fall of 2022</w:t>
            </w:r>
            <w:r>
              <w:t xml:space="preserve"> to join </w:t>
            </w:r>
            <w:r w:rsidR="002317A9">
              <w:t>T</w:t>
            </w:r>
            <w:r>
              <w:t>he</w:t>
            </w:r>
            <w:r w:rsidR="00E50D1C">
              <w:t xml:space="preserve"> </w:t>
            </w:r>
            <w:r>
              <w:t xml:space="preserve">University of Texas System. </w:t>
            </w:r>
            <w:r w:rsidR="002317A9">
              <w:t xml:space="preserve">C.S.H.B. 2639 provides for the establishment of </w:t>
            </w:r>
            <w:r>
              <w:t xml:space="preserve">SFA </w:t>
            </w:r>
            <w:r w:rsidR="002317A9">
              <w:t>as a</w:t>
            </w:r>
            <w:r>
              <w:t xml:space="preserve"> university within the UT</w:t>
            </w:r>
            <w:r w:rsidR="002317A9">
              <w:t xml:space="preserve"> </w:t>
            </w:r>
            <w:r w:rsidR="00F24415">
              <w:t>s</w:t>
            </w:r>
            <w:r>
              <w:t>yste</w:t>
            </w:r>
            <w:r>
              <w:t xml:space="preserve">m, </w:t>
            </w:r>
            <w:r w:rsidR="002317A9">
              <w:t xml:space="preserve">including </w:t>
            </w:r>
            <w:r>
              <w:t>eligib</w:t>
            </w:r>
            <w:r w:rsidR="002317A9">
              <w:t>ility</w:t>
            </w:r>
            <w:r>
              <w:t xml:space="preserve"> for</w:t>
            </w:r>
            <w:r w:rsidR="002317A9">
              <w:t xml:space="preserve"> funding under the</w:t>
            </w:r>
            <w:r>
              <w:t xml:space="preserve"> </w:t>
            </w:r>
            <w:r w:rsidR="00C96C4D">
              <w:t>p</w:t>
            </w:r>
            <w:r>
              <w:t xml:space="preserve">ermanent </w:t>
            </w:r>
            <w:r w:rsidR="002317A9">
              <w:t>u</w:t>
            </w:r>
            <w:r>
              <w:t xml:space="preserve">niversity </w:t>
            </w:r>
            <w:r w:rsidR="00C96C4D">
              <w:t>f</w:t>
            </w:r>
            <w:r>
              <w:t xml:space="preserve">und </w:t>
            </w:r>
            <w:r w:rsidR="002317A9">
              <w:t xml:space="preserve">and </w:t>
            </w:r>
            <w:r>
              <w:t xml:space="preserve">transition </w:t>
            </w:r>
            <w:r w:rsidR="002317A9">
              <w:t xml:space="preserve">to the system </w:t>
            </w:r>
            <w:r>
              <w:t xml:space="preserve">overseen by </w:t>
            </w:r>
            <w:r w:rsidR="00F24415">
              <w:t>t</w:t>
            </w:r>
            <w:r>
              <w:t>he UT</w:t>
            </w:r>
            <w:r w:rsidR="002317A9">
              <w:t xml:space="preserve"> </w:t>
            </w:r>
            <w:r w:rsidR="00F24415">
              <w:t>s</w:t>
            </w:r>
            <w:r>
              <w:t xml:space="preserve">ystem </w:t>
            </w:r>
            <w:r w:rsidR="002317A9">
              <w:t>b</w:t>
            </w:r>
            <w:r>
              <w:t xml:space="preserve">oard of </w:t>
            </w:r>
            <w:r w:rsidR="002317A9">
              <w:t>r</w:t>
            </w:r>
            <w:r>
              <w:t>egents</w:t>
            </w:r>
            <w:r w:rsidR="002317A9">
              <w:t>.</w:t>
            </w:r>
            <w:r>
              <w:t xml:space="preserve"> </w:t>
            </w:r>
            <w:r w:rsidR="002317A9">
              <w:t xml:space="preserve">The bill </w:t>
            </w:r>
            <w:r w:rsidR="00C96C4D">
              <w:t xml:space="preserve">sets out additional provisions relating to the transition, </w:t>
            </w:r>
            <w:r w:rsidR="007A1525">
              <w:t>the</w:t>
            </w:r>
            <w:r w:rsidR="00C96C4D">
              <w:t xml:space="preserve"> </w:t>
            </w:r>
            <w:r>
              <w:t>admission and</w:t>
            </w:r>
            <w:r w:rsidR="00E50D1C">
              <w:t xml:space="preserve"> </w:t>
            </w:r>
            <w:r>
              <w:t>credit transfer</w:t>
            </w:r>
            <w:r w:rsidR="00C96C4D">
              <w:t xml:space="preserve"> of students</w:t>
            </w:r>
            <w:r w:rsidR="007A1525">
              <w:t>,</w:t>
            </w:r>
            <w:r w:rsidR="00C96C4D">
              <w:t xml:space="preserve"> and </w:t>
            </w:r>
            <w:r w:rsidR="007A1525">
              <w:t>the employment of</w:t>
            </w:r>
            <w:r w:rsidR="00B21FB5">
              <w:t xml:space="preserve"> </w:t>
            </w:r>
            <w:r>
              <w:t>tenured and tenure-track faculty</w:t>
            </w:r>
            <w:r w:rsidR="00C96C4D">
              <w:t>.</w:t>
            </w:r>
          </w:p>
          <w:p w14:paraId="3AE6CC33" w14:textId="494C2E57" w:rsidR="00CB3EA4" w:rsidRPr="00E26B13" w:rsidRDefault="00CB3EA4" w:rsidP="00CB3EA4">
            <w:pPr>
              <w:pStyle w:val="Header"/>
              <w:jc w:val="both"/>
              <w:rPr>
                <w:b/>
              </w:rPr>
            </w:pPr>
          </w:p>
        </w:tc>
      </w:tr>
      <w:tr w:rsidR="00AD4BE5" w14:paraId="5852ABE6" w14:textId="77777777" w:rsidTr="00345119">
        <w:tc>
          <w:tcPr>
            <w:tcW w:w="9576" w:type="dxa"/>
          </w:tcPr>
          <w:p w14:paraId="53D95C68" w14:textId="77777777" w:rsidR="0017725B" w:rsidRDefault="00A015AB" w:rsidP="00CB3E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4BAE0DD" w14:textId="77777777" w:rsidR="0017725B" w:rsidRDefault="0017725B" w:rsidP="00CB3EA4">
            <w:pPr>
              <w:rPr>
                <w:b/>
                <w:u w:val="single"/>
              </w:rPr>
            </w:pPr>
          </w:p>
          <w:p w14:paraId="236C9F0C" w14:textId="191E5B90" w:rsidR="00D9504B" w:rsidRPr="00D9504B" w:rsidRDefault="00A015AB" w:rsidP="00CB3EA4">
            <w:pPr>
              <w:jc w:val="both"/>
            </w:pPr>
            <w:r>
              <w:t>It is the committee's opinion that this bill does not expressly cre</w:t>
            </w:r>
            <w:r>
              <w:t>ate a criminal offense, increase the punishment for an existing criminal offense or category of offenses, or change the eligibility of a person for community supervision, parole, or mandatory supervision.</w:t>
            </w:r>
          </w:p>
          <w:p w14:paraId="6E91540F" w14:textId="77777777" w:rsidR="0017725B" w:rsidRPr="0017725B" w:rsidRDefault="0017725B" w:rsidP="00CB3EA4">
            <w:pPr>
              <w:rPr>
                <w:b/>
                <w:u w:val="single"/>
              </w:rPr>
            </w:pPr>
          </w:p>
        </w:tc>
      </w:tr>
      <w:tr w:rsidR="00AD4BE5" w14:paraId="0F5C43A9" w14:textId="77777777" w:rsidTr="00345119">
        <w:tc>
          <w:tcPr>
            <w:tcW w:w="9576" w:type="dxa"/>
          </w:tcPr>
          <w:p w14:paraId="7699787C" w14:textId="77777777" w:rsidR="008423E4" w:rsidRPr="00A8133F" w:rsidRDefault="00A015AB" w:rsidP="00CB3EA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8B01665" w14:textId="77777777" w:rsidR="008423E4" w:rsidRDefault="008423E4" w:rsidP="00CB3EA4"/>
          <w:p w14:paraId="1E81A86E" w14:textId="4ACFDA12" w:rsidR="00E93D63" w:rsidRDefault="00A015AB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</w:t>
            </w:r>
            <w:r>
              <w:t>ion that rulemaking authority is expressly granted to the board of regents of The University of Texas System in SECTION 1</w:t>
            </w:r>
            <w:r w:rsidR="006F2431">
              <w:t xml:space="preserve"> </w:t>
            </w:r>
            <w:r>
              <w:t>of this bill.</w:t>
            </w:r>
          </w:p>
          <w:p w14:paraId="4A71EB4A" w14:textId="77777777" w:rsidR="008423E4" w:rsidRPr="00E21FDC" w:rsidRDefault="008423E4" w:rsidP="00CB3EA4">
            <w:pPr>
              <w:rPr>
                <w:b/>
              </w:rPr>
            </w:pPr>
          </w:p>
        </w:tc>
      </w:tr>
      <w:tr w:rsidR="00AD4BE5" w14:paraId="00CB8B57" w14:textId="77777777" w:rsidTr="00345119">
        <w:tc>
          <w:tcPr>
            <w:tcW w:w="9576" w:type="dxa"/>
          </w:tcPr>
          <w:p w14:paraId="619C72B3" w14:textId="77777777" w:rsidR="008423E4" w:rsidRPr="00272D38" w:rsidRDefault="00A015AB" w:rsidP="00CB3EA4">
            <w:pPr>
              <w:rPr>
                <w:b/>
              </w:rPr>
            </w:pPr>
            <w:r w:rsidRPr="00272D38">
              <w:rPr>
                <w:b/>
                <w:u w:val="single"/>
              </w:rPr>
              <w:t>ANALYSIS</w:t>
            </w:r>
            <w:r w:rsidRPr="00272D38">
              <w:rPr>
                <w:b/>
              </w:rPr>
              <w:t xml:space="preserve"> </w:t>
            </w:r>
          </w:p>
          <w:p w14:paraId="48D4C459" w14:textId="77777777" w:rsidR="00CC0ACC" w:rsidRDefault="00CC0ACC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</w:p>
          <w:p w14:paraId="664E30A5" w14:textId="659377E4" w:rsidR="006170FE" w:rsidRDefault="00A015AB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  <w:r w:rsidRPr="00CC0ACC">
              <w:rPr>
                <w:b/>
                <w:bCs/>
              </w:rPr>
              <w:t>Creation of SFA-UT</w:t>
            </w:r>
          </w:p>
          <w:p w14:paraId="656B42E3" w14:textId="77777777" w:rsidR="00CB3EA4" w:rsidRDefault="00CB3EA4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</w:p>
          <w:p w14:paraId="76913021" w14:textId="213E57E6" w:rsidR="008666F1" w:rsidRDefault="00A015AB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435715">
              <w:t>H.B. 2639</w:t>
            </w:r>
            <w:r w:rsidR="00AA7E73">
              <w:t xml:space="preserve"> </w:t>
            </w:r>
            <w:r w:rsidR="003B1CF9">
              <w:t xml:space="preserve">sets out provisions and </w:t>
            </w:r>
            <w:r w:rsidR="00AA7E73">
              <w:t xml:space="preserve">amends the Education Code to </w:t>
            </w:r>
            <w:r w:rsidR="00435715">
              <w:t xml:space="preserve">create </w:t>
            </w:r>
            <w:r w:rsidR="00AA7E73">
              <w:t xml:space="preserve">a general academic teaching institution in Nacogdoches to be known as </w:t>
            </w:r>
            <w:r w:rsidR="00435715">
              <w:t>Stephen F. Austin State University, a member of The University of Texas System</w:t>
            </w:r>
            <w:r w:rsidR="008A0C6B">
              <w:t xml:space="preserve"> (SFA-UT). The bill </w:t>
            </w:r>
            <w:r w:rsidR="00AA7E73">
              <w:t xml:space="preserve">provides for </w:t>
            </w:r>
            <w:r w:rsidR="003B1CF9">
              <w:t>SFA-UT's</w:t>
            </w:r>
            <w:r w:rsidR="00AA7E73">
              <w:t xml:space="preserve"> establishment</w:t>
            </w:r>
            <w:r w:rsidR="00EB4294">
              <w:t xml:space="preserve"> </w:t>
            </w:r>
            <w:r w:rsidR="00AA7E73">
              <w:t>by the board of regents of The University of Texas System (UT board)</w:t>
            </w:r>
            <w:r w:rsidR="008A0C6B">
              <w:t xml:space="preserve"> as a </w:t>
            </w:r>
            <w:r w:rsidR="00CD02B5">
              <w:t>component institution w</w:t>
            </w:r>
            <w:r w:rsidR="003B1CF9">
              <w:t>ithin the UT system</w:t>
            </w:r>
            <w:r w:rsidR="008A0C6B">
              <w:t xml:space="preserve"> </w:t>
            </w:r>
            <w:r w:rsidR="002F352A">
              <w:t xml:space="preserve">that </w:t>
            </w:r>
            <w:r>
              <w:t>offer</w:t>
            </w:r>
            <w:r w:rsidR="002F352A">
              <w:t>s</w:t>
            </w:r>
            <w:r>
              <w:t xml:space="preserve"> degrees and their equivalents</w:t>
            </w:r>
            <w:r w:rsidR="002F352A">
              <w:t xml:space="preserve"> </w:t>
            </w:r>
            <w:r w:rsidRPr="00272D38">
              <w:t xml:space="preserve">under the governance, management, and control of </w:t>
            </w:r>
            <w:r w:rsidR="00862E10">
              <w:t>t</w:t>
            </w:r>
            <w:r w:rsidRPr="00272D38">
              <w:t xml:space="preserve">he </w:t>
            </w:r>
            <w:r w:rsidR="00C42C0C">
              <w:t xml:space="preserve">UT board. </w:t>
            </w:r>
          </w:p>
          <w:p w14:paraId="0A900EFC" w14:textId="77777777" w:rsidR="008666F1" w:rsidRDefault="008666F1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A71CAFA" w14:textId="31B20D4E" w:rsidR="00C943BB" w:rsidRDefault="00A015AB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8666F1">
              <w:t>H.B. 2639 accordingly</w:t>
            </w:r>
            <w:r w:rsidR="00D67E2E">
              <w:t xml:space="preserve"> abol</w:t>
            </w:r>
            <w:r w:rsidRPr="00C943BB">
              <w:t>ish</w:t>
            </w:r>
            <w:r>
              <w:t xml:space="preserve">es </w:t>
            </w:r>
            <w:r w:rsidRPr="00C943BB">
              <w:t>Stephen F. A</w:t>
            </w:r>
            <w:r w:rsidRPr="00C943BB">
              <w:t>ustin State University</w:t>
            </w:r>
            <w:r w:rsidR="00D67E2E">
              <w:t xml:space="preserve"> </w:t>
            </w:r>
            <w:r w:rsidR="00302F95">
              <w:t>(SFA)</w:t>
            </w:r>
            <w:r w:rsidR="00C306C1">
              <w:t xml:space="preserve"> as specified</w:t>
            </w:r>
            <w:r w:rsidR="00374574">
              <w:t>,</w:t>
            </w:r>
            <w:r w:rsidR="006170FE">
              <w:t xml:space="preserve"> </w:t>
            </w:r>
            <w:r w:rsidR="00D67E2E">
              <w:t>repeals</w:t>
            </w:r>
            <w:r w:rsidR="000135CD">
              <w:t xml:space="preserve"> </w:t>
            </w:r>
            <w:r w:rsidR="00CF5954">
              <w:t xml:space="preserve">the </w:t>
            </w:r>
            <w:r w:rsidR="00D67E2E">
              <w:t xml:space="preserve">statutes </w:t>
            </w:r>
            <w:r w:rsidR="00862E10">
              <w:t xml:space="preserve">currently governing </w:t>
            </w:r>
            <w:r w:rsidR="00302F95">
              <w:t>SFA</w:t>
            </w:r>
            <w:r w:rsidR="00165044">
              <w:t xml:space="preserve">, </w:t>
            </w:r>
            <w:r w:rsidR="004C5812">
              <w:t xml:space="preserve">clarifies references in law to </w:t>
            </w:r>
            <w:r w:rsidR="002770F6">
              <w:t>S</w:t>
            </w:r>
            <w:r w:rsidR="002627B9">
              <w:t>FA</w:t>
            </w:r>
            <w:r w:rsidR="002770F6">
              <w:t>-UT</w:t>
            </w:r>
            <w:r w:rsidR="004C5812">
              <w:t>,</w:t>
            </w:r>
            <w:r w:rsidR="00C1582B">
              <w:t xml:space="preserve"> </w:t>
            </w:r>
            <w:r w:rsidR="00D30C94">
              <w:t xml:space="preserve">provides for </w:t>
            </w:r>
            <w:r w:rsidR="00165044">
              <w:t>the</w:t>
            </w:r>
            <w:r w:rsidR="00C1582B">
              <w:t xml:space="preserve"> </w:t>
            </w:r>
            <w:r w:rsidR="00165044">
              <w:t>transfer</w:t>
            </w:r>
            <w:r w:rsidR="000135CD">
              <w:t xml:space="preserve"> of</w:t>
            </w:r>
            <w:r w:rsidR="00165044">
              <w:t xml:space="preserve"> </w:t>
            </w:r>
            <w:r w:rsidR="000135CD">
              <w:t>management and control</w:t>
            </w:r>
            <w:r w:rsidR="00C1582B">
              <w:t xml:space="preserve"> to the UT system</w:t>
            </w:r>
            <w:r w:rsidR="00F440AF">
              <w:t>,</w:t>
            </w:r>
            <w:r w:rsidR="00C1582B">
              <w:t xml:space="preserve"> and </w:t>
            </w:r>
            <w:r w:rsidR="00F440AF">
              <w:t xml:space="preserve">sets out transition provisions applicable </w:t>
            </w:r>
            <w:r w:rsidR="00165044">
              <w:t>t</w:t>
            </w:r>
            <w:r w:rsidR="004C5812">
              <w:t xml:space="preserve">o membership in </w:t>
            </w:r>
            <w:r w:rsidR="001B3146">
              <w:t>the</w:t>
            </w:r>
            <w:r w:rsidR="00637E07">
              <w:t xml:space="preserve"> UT</w:t>
            </w:r>
            <w:r w:rsidR="001B3146">
              <w:t xml:space="preserve"> system</w:t>
            </w:r>
            <w:r w:rsidR="004C5812">
              <w:t>.</w:t>
            </w:r>
          </w:p>
          <w:p w14:paraId="61A599D1" w14:textId="77777777" w:rsidR="00CD403D" w:rsidRDefault="00CD403D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</w:p>
          <w:p w14:paraId="672D78EE" w14:textId="5EF1EF3B" w:rsidR="00EB12FE" w:rsidRDefault="00A015AB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Abolition of SFA</w:t>
            </w:r>
          </w:p>
          <w:p w14:paraId="02739270" w14:textId="77777777" w:rsidR="00CB3EA4" w:rsidRPr="009F63C1" w:rsidRDefault="00CB3EA4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</w:p>
          <w:p w14:paraId="6C722E91" w14:textId="5B750B17" w:rsidR="00014439" w:rsidRDefault="00A015AB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4C6775" w:rsidRPr="00272D38">
              <w:t xml:space="preserve">H.B. 2639 </w:t>
            </w:r>
            <w:r w:rsidR="00B03B0D">
              <w:t xml:space="preserve">establishes </w:t>
            </w:r>
            <w:r>
              <w:t>the following:</w:t>
            </w:r>
          </w:p>
          <w:p w14:paraId="4937C51F" w14:textId="0ED53708" w:rsidR="00363925" w:rsidRDefault="00A015AB" w:rsidP="00CB3EA4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SFA </w:t>
            </w:r>
            <w:r w:rsidR="00B03B0D">
              <w:t xml:space="preserve">is abolished </w:t>
            </w:r>
            <w:r w:rsidR="00AE50BE" w:rsidRPr="00272D38">
              <w:t xml:space="preserve">on </w:t>
            </w:r>
            <w:r w:rsidR="00F440AF">
              <w:t>a</w:t>
            </w:r>
            <w:r w:rsidR="00AE50BE" w:rsidRPr="00272D38">
              <w:t xml:space="preserve"> date</w:t>
            </w:r>
            <w:r w:rsidR="005B4024">
              <w:t xml:space="preserve"> </w:t>
            </w:r>
            <w:r w:rsidR="00862E10">
              <w:t>the UT board</w:t>
            </w:r>
            <w:r w:rsidR="00CD03F7">
              <w:t xml:space="preserve"> </w:t>
            </w:r>
            <w:r w:rsidR="00AE50BE" w:rsidRPr="00272D38">
              <w:t xml:space="preserve">determines appropriate to achieve the maximum operating efficiency of the </w:t>
            </w:r>
            <w:r w:rsidR="00A03FF6" w:rsidRPr="00272D38">
              <w:t>system</w:t>
            </w:r>
            <w:r w:rsidR="00014439">
              <w:t>;</w:t>
            </w:r>
            <w:r w:rsidR="00A03FF6" w:rsidRPr="00272D38">
              <w:t xml:space="preserve"> </w:t>
            </w:r>
            <w:r>
              <w:t>and</w:t>
            </w:r>
          </w:p>
          <w:p w14:paraId="52043B3B" w14:textId="0A848BF0" w:rsidR="00363925" w:rsidRDefault="00A015AB" w:rsidP="00CB3EA4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jc w:val="both"/>
            </w:pPr>
            <w:r>
              <w:t>e</w:t>
            </w:r>
            <w:r w:rsidR="00592B8E">
              <w:t>ffective on that designated date</w:t>
            </w:r>
            <w:r>
              <w:t>:</w:t>
            </w:r>
          </w:p>
          <w:p w14:paraId="19F93B20" w14:textId="2511FF05" w:rsidR="00363925" w:rsidRDefault="00A015AB" w:rsidP="00CB3EA4">
            <w:pPr>
              <w:pStyle w:val="Header"/>
              <w:numPr>
                <w:ilvl w:val="1"/>
                <w:numId w:val="1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statutory provisions </w:t>
            </w:r>
            <w:r w:rsidR="00745DE7">
              <w:t>governing</w:t>
            </w:r>
            <w:r>
              <w:t xml:space="preserve"> SFA are repealed;</w:t>
            </w:r>
          </w:p>
          <w:p w14:paraId="24017718" w14:textId="0BF6B594" w:rsidR="00363925" w:rsidRDefault="00A015AB" w:rsidP="00CB3EA4">
            <w:pPr>
              <w:pStyle w:val="Header"/>
              <w:numPr>
                <w:ilvl w:val="1"/>
                <w:numId w:val="13"/>
              </w:numPr>
              <w:tabs>
                <w:tab w:val="clear" w:pos="4320"/>
                <w:tab w:val="clear" w:pos="8640"/>
              </w:tabs>
              <w:jc w:val="both"/>
            </w:pPr>
            <w:r>
              <w:t>the terms of office of members of the board of regents of SFA</w:t>
            </w:r>
            <w:r w:rsidR="002770F6">
              <w:t xml:space="preserve"> (SFA board)</w:t>
            </w:r>
            <w:r>
              <w:t xml:space="preserve"> expire;</w:t>
            </w:r>
            <w:r w:rsidR="00B65768">
              <w:t xml:space="preserve"> and</w:t>
            </w:r>
          </w:p>
          <w:p w14:paraId="1D48B553" w14:textId="0099930D" w:rsidR="00363925" w:rsidRDefault="00A015AB" w:rsidP="00CB3EA4">
            <w:pPr>
              <w:pStyle w:val="Header"/>
              <w:numPr>
                <w:ilvl w:val="1"/>
                <w:numId w:val="13"/>
              </w:numPr>
              <w:tabs>
                <w:tab w:val="clear" w:pos="4320"/>
                <w:tab w:val="clear" w:pos="8640"/>
              </w:tabs>
              <w:jc w:val="both"/>
            </w:pPr>
            <w:r>
              <w:t>SFA-UT</w:t>
            </w:r>
            <w:r w:rsidRPr="00272D38">
              <w:t xml:space="preserve"> </w:t>
            </w:r>
            <w:r w:rsidR="00745DE7">
              <w:t xml:space="preserve">must </w:t>
            </w:r>
            <w:r w:rsidRPr="00272D38">
              <w:t>begin operating</w:t>
            </w:r>
            <w:r>
              <w:t xml:space="preserve"> as a member of </w:t>
            </w:r>
            <w:r w:rsidR="00C306C1">
              <w:t>the UT system</w:t>
            </w:r>
            <w:r>
              <w:t>.</w:t>
            </w:r>
          </w:p>
          <w:p w14:paraId="61CC0665" w14:textId="288020A6" w:rsidR="00592B8E" w:rsidRDefault="00A015AB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</w:t>
            </w:r>
            <w:r w:rsidR="00862E10">
              <w:t>e</w:t>
            </w:r>
            <w:r>
              <w:t xml:space="preserve"> </w:t>
            </w:r>
            <w:r>
              <w:t xml:space="preserve">designated date must be entered into the </w:t>
            </w:r>
            <w:r w:rsidR="00363925">
              <w:t xml:space="preserve">UT </w:t>
            </w:r>
            <w:r>
              <w:t>board</w:t>
            </w:r>
            <w:r w:rsidR="00374574">
              <w:t xml:space="preserve">'s </w:t>
            </w:r>
            <w:r>
              <w:t>minutes</w:t>
            </w:r>
            <w:r w:rsidR="00B03B0D">
              <w:t xml:space="preserve"> and</w:t>
            </w:r>
            <w:r>
              <w:t xml:space="preserve"> the board must provide the secretary of state </w:t>
            </w:r>
            <w:r w:rsidR="00950FF1">
              <w:t xml:space="preserve">with </w:t>
            </w:r>
            <w:r>
              <w:t>written notice of the aboli</w:t>
            </w:r>
            <w:r w:rsidR="00950FF1">
              <w:t>tion</w:t>
            </w:r>
            <w:r w:rsidR="00B03B0D">
              <w:t>.</w:t>
            </w:r>
            <w:r>
              <w:t xml:space="preserve"> </w:t>
            </w:r>
            <w:r w:rsidR="00B03B0D">
              <w:t xml:space="preserve">The </w:t>
            </w:r>
            <w:r w:rsidR="00374574">
              <w:t>UT board</w:t>
            </w:r>
            <w:r>
              <w:t xml:space="preserve"> may not act to abolish SFA earlier than the date SFA-UT begins operation. </w:t>
            </w:r>
          </w:p>
          <w:p w14:paraId="6DB2AD4B" w14:textId="456DBA1B" w:rsidR="00592B8E" w:rsidRDefault="00592B8E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D898776" w14:textId="53BBC536" w:rsidR="006A4C81" w:rsidRDefault="00A015AB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2639 </w:t>
            </w:r>
            <w:r w:rsidR="00C306C1">
              <w:t>establishes</w:t>
            </w:r>
            <w:r w:rsidRPr="00272D38">
              <w:t xml:space="preserve"> that the </w:t>
            </w:r>
            <w:r>
              <w:t>abolition</w:t>
            </w:r>
            <w:r w:rsidRPr="00272D38">
              <w:t xml:space="preserve"> of </w:t>
            </w:r>
            <w:r>
              <w:t xml:space="preserve">SFA </w:t>
            </w:r>
            <w:r w:rsidRPr="00272D38">
              <w:t xml:space="preserve">does not affect any pledge of revenue from a fee made by or on behalf of </w:t>
            </w:r>
            <w:r w:rsidR="00CC0ACC">
              <w:t>SFA</w:t>
            </w:r>
            <w:r w:rsidRPr="00272D38">
              <w:t xml:space="preserve"> to pay obligations issued in connection with facilities for which the fee was imposed and the obligations were issued.</w:t>
            </w:r>
            <w:r w:rsidR="00864867">
              <w:t xml:space="preserve"> </w:t>
            </w:r>
          </w:p>
          <w:p w14:paraId="6548CF67" w14:textId="77777777" w:rsidR="006A4C81" w:rsidRDefault="006A4C81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BFCCDDE" w14:textId="6C2D8800" w:rsidR="00E92032" w:rsidRDefault="00A015AB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Permanent </w:t>
            </w:r>
            <w:r>
              <w:rPr>
                <w:b/>
                <w:bCs/>
              </w:rPr>
              <w:t>University Fund</w:t>
            </w:r>
            <w:r w:rsidR="00E6388E">
              <w:rPr>
                <w:b/>
                <w:bCs/>
              </w:rPr>
              <w:t>; Equitable Allocation Formula</w:t>
            </w:r>
          </w:p>
          <w:p w14:paraId="1E544399" w14:textId="77777777" w:rsidR="00D11BD9" w:rsidRDefault="00D11BD9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09B882C" w14:textId="27B81824" w:rsidR="00496C3C" w:rsidRDefault="00A015AB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E92032" w:rsidRPr="00272D38">
              <w:t xml:space="preserve">H.B. 2639 </w:t>
            </w:r>
            <w:r w:rsidR="00593E85">
              <w:t xml:space="preserve">entitles </w:t>
            </w:r>
            <w:r w:rsidR="00E92032">
              <w:t>SFA</w:t>
            </w:r>
            <w:r w:rsidR="00572C7B">
              <w:t>-UT</w:t>
            </w:r>
            <w:r w:rsidR="00E92032">
              <w:t xml:space="preserve"> to</w:t>
            </w:r>
            <w:r w:rsidR="00E92032" w:rsidRPr="00272D38">
              <w:t xml:space="preserve"> participate in </w:t>
            </w:r>
            <w:r w:rsidR="00572C7B">
              <w:t xml:space="preserve">the permanent </w:t>
            </w:r>
            <w:r w:rsidR="00E92032">
              <w:t xml:space="preserve">university </w:t>
            </w:r>
            <w:r w:rsidR="00E92032" w:rsidRPr="00272D38">
              <w:t xml:space="preserve">fund </w:t>
            </w:r>
            <w:r w:rsidR="00E92032">
              <w:t>to</w:t>
            </w:r>
            <w:r w:rsidR="00E92032" w:rsidRPr="00272D38">
              <w:t xml:space="preserve"> the same extent as similar component institutions of the </w:t>
            </w:r>
            <w:r w:rsidR="00E92032">
              <w:t xml:space="preserve">UT </w:t>
            </w:r>
            <w:r w:rsidR="00E92032" w:rsidRPr="00272D38">
              <w:t>system</w:t>
            </w:r>
            <w:r w:rsidR="00C306C1">
              <w:t xml:space="preserve"> and</w:t>
            </w:r>
            <w:r w:rsidR="00E6388E">
              <w:t xml:space="preserve"> authorizes t</w:t>
            </w:r>
            <w:r w:rsidR="00C306C1">
              <w:t xml:space="preserve">he UT board </w:t>
            </w:r>
            <w:r w:rsidR="00E6388E">
              <w:t>to</w:t>
            </w:r>
            <w:r w:rsidR="00E6388E" w:rsidRPr="00272D38">
              <w:t xml:space="preserve"> </w:t>
            </w:r>
            <w:r w:rsidR="00C306C1" w:rsidRPr="00272D38">
              <w:t>solicit, accept, and administer gifts, grants, or donations</w:t>
            </w:r>
            <w:r w:rsidR="00C306C1">
              <w:t xml:space="preserve"> of any kind and from any source </w:t>
            </w:r>
            <w:r w:rsidR="00C306C1" w:rsidRPr="00272D38">
              <w:t xml:space="preserve">for </w:t>
            </w:r>
            <w:r w:rsidR="00C306C1">
              <w:t>SFA-UT use.</w:t>
            </w:r>
            <w:r w:rsidR="006749D5">
              <w:t xml:space="preserve"> </w:t>
            </w:r>
          </w:p>
          <w:p w14:paraId="636D5D11" w14:textId="77777777" w:rsidR="00ED26D1" w:rsidRDefault="00ED26D1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</w:p>
          <w:p w14:paraId="679647A9" w14:textId="536999D1" w:rsidR="00016082" w:rsidRDefault="00A015AB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26</w:t>
            </w:r>
            <w:r w:rsidR="00E6388E">
              <w:t>3</w:t>
            </w:r>
            <w:r>
              <w:t xml:space="preserve">9, </w:t>
            </w:r>
            <w:r w:rsidR="00ED26D1">
              <w:t xml:space="preserve">effective </w:t>
            </w:r>
            <w:r w:rsidR="00ED26D1" w:rsidRPr="00816547">
              <w:t>September 1, 2023</w:t>
            </w:r>
            <w:r w:rsidR="00ED26D1">
              <w:t xml:space="preserve">, </w:t>
            </w:r>
            <w:r w:rsidR="00E6388E" w:rsidRPr="00272D38">
              <w:t xml:space="preserve">removes </w:t>
            </w:r>
            <w:r w:rsidR="00E6388E">
              <w:t xml:space="preserve">SFA's entitlement to </w:t>
            </w:r>
            <w:r w:rsidR="00E6388E" w:rsidRPr="00272D38">
              <w:t>the</w:t>
            </w:r>
            <w:r w:rsidR="00E6388E">
              <w:t xml:space="preserve"> annual amount of funds</w:t>
            </w:r>
            <w:r w:rsidR="00E6388E" w:rsidRPr="00272D38">
              <w:t xml:space="preserve"> allocated </w:t>
            </w:r>
            <w:r w:rsidR="00E6388E">
              <w:t>under</w:t>
            </w:r>
            <w:r w:rsidR="00E6388E" w:rsidRPr="00272D38">
              <w:t xml:space="preserve"> the </w:t>
            </w:r>
            <w:r w:rsidR="00E6388E">
              <w:t>e</w:t>
            </w:r>
            <w:r w:rsidR="00E6388E" w:rsidRPr="00272D38">
              <w:t xml:space="preserve">quitable </w:t>
            </w:r>
            <w:r w:rsidR="00E6388E">
              <w:t>a</w:t>
            </w:r>
            <w:r w:rsidR="00E6388E" w:rsidRPr="00272D38">
              <w:t xml:space="preserve">llocation </w:t>
            </w:r>
            <w:r w:rsidR="00E6388E">
              <w:t>f</w:t>
            </w:r>
            <w:r w:rsidR="00E6388E" w:rsidRPr="00272D38">
              <w:t>ormula</w:t>
            </w:r>
            <w:r w:rsidR="00E6388E">
              <w:t xml:space="preserve">. </w:t>
            </w:r>
            <w:r w:rsidR="00E82F5F">
              <w:t>Accordingly, t</w:t>
            </w:r>
            <w:r w:rsidR="00E6388E">
              <w:t xml:space="preserve">he bill </w:t>
            </w:r>
            <w:r>
              <w:t xml:space="preserve">increases </w:t>
            </w:r>
            <w:r w:rsidR="00B21FB5">
              <w:t xml:space="preserve">entitlement to </w:t>
            </w:r>
            <w:r w:rsidR="00E6388E">
              <w:t>funds allocated</w:t>
            </w:r>
            <w:r>
              <w:t xml:space="preserve"> </w:t>
            </w:r>
            <w:r w:rsidR="00B21FB5">
              <w:t>under</w:t>
            </w:r>
            <w:r>
              <w:t xml:space="preserve"> </w:t>
            </w:r>
            <w:r w:rsidR="007D583F">
              <w:t>the</w:t>
            </w:r>
            <w:r w:rsidR="00B21FB5">
              <w:t xml:space="preserve"> formula for the</w:t>
            </w:r>
            <w:r w:rsidR="007D583F">
              <w:t xml:space="preserve"> following </w:t>
            </w:r>
            <w:r w:rsidR="00E6388E">
              <w:t>institution</w:t>
            </w:r>
            <w:r w:rsidR="00D11BD9">
              <w:t>s</w:t>
            </w:r>
            <w:r w:rsidR="007D583F">
              <w:t xml:space="preserve"> or </w:t>
            </w:r>
            <w:r>
              <w:t>each of</w:t>
            </w:r>
            <w:r w:rsidR="007D583F">
              <w:t xml:space="preserve"> </w:t>
            </w:r>
            <w:r w:rsidRPr="006749D5">
              <w:t xml:space="preserve">the component institutions of the </w:t>
            </w:r>
            <w:r>
              <w:t>following university systems</w:t>
            </w:r>
            <w:r w:rsidR="007D583F">
              <w:t>, as applicable</w:t>
            </w:r>
            <w:r w:rsidR="00ED26D1">
              <w:t>:</w:t>
            </w:r>
          </w:p>
          <w:p w14:paraId="343B8709" w14:textId="24EC9A80" w:rsidR="00016082" w:rsidRDefault="00A015AB" w:rsidP="00CB3EA4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jc w:val="both"/>
            </w:pPr>
            <w:r>
              <w:t>the University of North Texas System;</w:t>
            </w:r>
          </w:p>
          <w:p w14:paraId="397CFA95" w14:textId="086E6628" w:rsidR="007D583F" w:rsidRDefault="00A015AB" w:rsidP="00CB3EA4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jc w:val="both"/>
            </w:pPr>
            <w:r>
              <w:t>the Texas State University System</w:t>
            </w:r>
            <w:r>
              <w:t>;</w:t>
            </w:r>
          </w:p>
          <w:p w14:paraId="0E51D1FE" w14:textId="1E242318" w:rsidR="007D583F" w:rsidRDefault="00A015AB" w:rsidP="00CB3EA4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jc w:val="both"/>
            </w:pPr>
            <w:r>
              <w:t>Texas Southern University;</w:t>
            </w:r>
          </w:p>
          <w:p w14:paraId="0BE1C0E1" w14:textId="64E5E6F0" w:rsidR="007D583F" w:rsidRDefault="00A015AB" w:rsidP="00CB3EA4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jc w:val="both"/>
            </w:pPr>
            <w:r>
              <w:t>the Texas Tech University System;</w:t>
            </w:r>
          </w:p>
          <w:p w14:paraId="62D981DE" w14:textId="510537CC" w:rsidR="007D583F" w:rsidRDefault="00A015AB" w:rsidP="00CB3EA4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jc w:val="both"/>
            </w:pPr>
            <w:r>
              <w:t>the Texas Woman's University System;</w:t>
            </w:r>
          </w:p>
          <w:p w14:paraId="503A7CE7" w14:textId="30737494" w:rsidR="007D583F" w:rsidRDefault="00A015AB" w:rsidP="00CB3EA4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jc w:val="both"/>
            </w:pPr>
            <w:r>
              <w:t>the University of Houston System; and</w:t>
            </w:r>
          </w:p>
          <w:p w14:paraId="584C0E02" w14:textId="64BEB6F5" w:rsidR="007D583F" w:rsidRDefault="00A015AB" w:rsidP="00CB3EA4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jc w:val="both"/>
            </w:pPr>
            <w:r>
              <w:t>The Texas A&amp;M University System.</w:t>
            </w:r>
          </w:p>
          <w:p w14:paraId="061F370D" w14:textId="77777777" w:rsidR="00B21C3F" w:rsidRDefault="00B21C3F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</w:p>
          <w:p w14:paraId="101BF26A" w14:textId="18BDE2E5" w:rsidR="00165044" w:rsidRDefault="00A015AB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  <w:r w:rsidRPr="00165044">
              <w:rPr>
                <w:b/>
                <w:bCs/>
              </w:rPr>
              <w:t xml:space="preserve">Transfer </w:t>
            </w:r>
            <w:r>
              <w:rPr>
                <w:b/>
                <w:bCs/>
              </w:rPr>
              <w:t>of Management and Control by SFA Board; UT Board Requirements</w:t>
            </w:r>
          </w:p>
          <w:p w14:paraId="47B63033" w14:textId="77777777" w:rsidR="00CB3EA4" w:rsidRPr="00165044" w:rsidRDefault="00CB3EA4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</w:p>
          <w:p w14:paraId="004FF404" w14:textId="382ABBE6" w:rsidR="00E92032" w:rsidRDefault="00A015AB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165044">
              <w:t xml:space="preserve">H.B. 2639 </w:t>
            </w:r>
            <w:r w:rsidR="000F1AF8">
              <w:t>sets out a general requirement for the SFA</w:t>
            </w:r>
            <w:r w:rsidR="002770F6">
              <w:t xml:space="preserve"> board</w:t>
            </w:r>
            <w:r w:rsidR="000F1AF8">
              <w:t xml:space="preserve"> to</w:t>
            </w:r>
            <w:r w:rsidR="00FF2025">
              <w:t xml:space="preserve"> take all steps necessary to</w:t>
            </w:r>
            <w:r w:rsidR="000F1AF8">
              <w:t xml:space="preserve"> facilitate the </w:t>
            </w:r>
            <w:r w:rsidR="005B4024">
              <w:t xml:space="preserve">operation </w:t>
            </w:r>
            <w:r w:rsidR="000F1AF8">
              <w:t xml:space="preserve">of </w:t>
            </w:r>
            <w:r w:rsidR="00014439">
              <w:t xml:space="preserve">SFA-UT </w:t>
            </w:r>
            <w:r w:rsidR="005B4024">
              <w:t xml:space="preserve">and </w:t>
            </w:r>
            <w:r w:rsidR="000F1AF8">
              <w:t>the</w:t>
            </w:r>
            <w:r w:rsidR="009D080A">
              <w:t xml:space="preserve"> orderly</w:t>
            </w:r>
            <w:r w:rsidR="000F1AF8">
              <w:t xml:space="preserve"> </w:t>
            </w:r>
            <w:r w:rsidR="005B4024">
              <w:t xml:space="preserve">winding up of </w:t>
            </w:r>
            <w:r w:rsidR="000F1AF8">
              <w:t xml:space="preserve">the </w:t>
            </w:r>
            <w:r w:rsidR="005B4024">
              <w:t>affairs of SFA</w:t>
            </w:r>
            <w:r w:rsidR="00F8151E">
              <w:t xml:space="preserve"> </w:t>
            </w:r>
            <w:r w:rsidR="005B4024">
              <w:t>and</w:t>
            </w:r>
            <w:r w:rsidR="00FF2025">
              <w:t>, for that purpose,</w:t>
            </w:r>
            <w:r w:rsidR="005B4024">
              <w:t xml:space="preserve"> </w:t>
            </w:r>
            <w:r w:rsidR="00014439">
              <w:t xml:space="preserve">expressly authorizes </w:t>
            </w:r>
            <w:r w:rsidR="005B4024">
              <w:t xml:space="preserve">the </w:t>
            </w:r>
            <w:r w:rsidR="00411E17" w:rsidRPr="00272D38">
              <w:t xml:space="preserve">transfer </w:t>
            </w:r>
            <w:r w:rsidR="00411E17">
              <w:t xml:space="preserve">of </w:t>
            </w:r>
            <w:r w:rsidR="00411E17" w:rsidRPr="00272D38">
              <w:t xml:space="preserve">management and control of </w:t>
            </w:r>
            <w:r w:rsidR="00411E17">
              <w:t>SFA</w:t>
            </w:r>
            <w:r w:rsidR="00411E17" w:rsidRPr="00272D38">
              <w:t xml:space="preserve"> </w:t>
            </w:r>
            <w:r w:rsidR="0014076B">
              <w:t xml:space="preserve">by the SFA board </w:t>
            </w:r>
            <w:r w:rsidR="00411E17" w:rsidRPr="00272D38">
              <w:t xml:space="preserve">to </w:t>
            </w:r>
            <w:r w:rsidR="003E5DD5">
              <w:t>the</w:t>
            </w:r>
            <w:r w:rsidR="00411E17" w:rsidRPr="00272D38">
              <w:t xml:space="preserve"> </w:t>
            </w:r>
            <w:r w:rsidR="00942EA8">
              <w:t xml:space="preserve">UT </w:t>
            </w:r>
            <w:r w:rsidR="00411E17">
              <w:t>board</w:t>
            </w:r>
            <w:r w:rsidR="00014439">
              <w:t>.</w:t>
            </w:r>
            <w:r w:rsidR="00B21C3F">
              <w:t xml:space="preserve"> Furthermore, the bill </w:t>
            </w:r>
            <w:r w:rsidRPr="00272D38">
              <w:t xml:space="preserve">requires </w:t>
            </w:r>
            <w:r>
              <w:t>the</w:t>
            </w:r>
            <w:r w:rsidRPr="00272D38">
              <w:t xml:space="preserve"> </w:t>
            </w:r>
            <w:r>
              <w:t>UT</w:t>
            </w:r>
            <w:r w:rsidRPr="00272D38">
              <w:t xml:space="preserve"> </w:t>
            </w:r>
            <w:r>
              <w:t xml:space="preserve">board </w:t>
            </w:r>
            <w:r w:rsidRPr="00272D38">
              <w:t xml:space="preserve">to </w:t>
            </w:r>
            <w:r>
              <w:t>do the following:</w:t>
            </w:r>
          </w:p>
          <w:p w14:paraId="1650F5A7" w14:textId="0873F0CC" w:rsidR="00E92032" w:rsidRDefault="00A015AB" w:rsidP="00CB3EA4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jc w:val="both"/>
            </w:pPr>
            <w:r w:rsidRPr="00272D38">
              <w:t xml:space="preserve">provide for the organization, administration, and location of </w:t>
            </w:r>
            <w:r>
              <w:t>SFA</w:t>
            </w:r>
            <w:r w:rsidR="00B21C3F">
              <w:t>-UT</w:t>
            </w:r>
            <w:r w:rsidRPr="00272D38">
              <w:t xml:space="preserve"> and of the colleges, schools, and other institutions and entities of </w:t>
            </w:r>
            <w:r w:rsidR="00B21C3F">
              <w:t>SFA-UT</w:t>
            </w:r>
            <w:r w:rsidR="00283F99">
              <w:t xml:space="preserve"> as necessary to achieve the maximum operating efficiency of SFA-UT</w:t>
            </w:r>
            <w:r w:rsidR="00926E65">
              <w:t>, which authority, as provided by the bill,</w:t>
            </w:r>
            <w:r>
              <w:t xml:space="preserve"> prevails over other law;</w:t>
            </w:r>
          </w:p>
          <w:p w14:paraId="3AECC3FD" w14:textId="3254F0EB" w:rsidR="00E92032" w:rsidRDefault="00A015AB" w:rsidP="00CB3EA4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jc w:val="both"/>
            </w:pPr>
            <w:r w:rsidRPr="00272D38">
              <w:t xml:space="preserve">make any other rules and regulations for the operation, control, and management of </w:t>
            </w:r>
            <w:r w:rsidR="00926E65">
              <w:t>SFA</w:t>
            </w:r>
            <w:r w:rsidR="006F2431">
              <w:noBreakHyphen/>
            </w:r>
            <w:r w:rsidR="00926E65">
              <w:t xml:space="preserve">UT </w:t>
            </w:r>
            <w:r w:rsidRPr="00272D38">
              <w:t xml:space="preserve">as necessary for the conduct of </w:t>
            </w:r>
            <w:r w:rsidR="002D7FD7">
              <w:t xml:space="preserve">SFA-UT </w:t>
            </w:r>
            <w:r w:rsidRPr="00272D38">
              <w:t>as a</w:t>
            </w:r>
            <w:r w:rsidR="002D7FD7">
              <w:t xml:space="preserve"> university of the</w:t>
            </w:r>
            <w:r w:rsidRPr="00272D38">
              <w:t xml:space="preserve"> first class</w:t>
            </w:r>
            <w:r>
              <w:t>;</w:t>
            </w:r>
          </w:p>
          <w:p w14:paraId="13986D42" w14:textId="6A8E750F" w:rsidR="007A5111" w:rsidRPr="00B21C3F" w:rsidRDefault="00A015AB" w:rsidP="00CB3EA4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  <w:r w:rsidRPr="00272D38">
              <w:t xml:space="preserve">provide for adequate physical facilities for use by </w:t>
            </w:r>
            <w:r w:rsidR="002D7FD7">
              <w:t>SFA-UT</w:t>
            </w:r>
            <w:r w:rsidR="00B21C3F">
              <w:t>; and</w:t>
            </w:r>
          </w:p>
          <w:p w14:paraId="3AA6F918" w14:textId="674FC9A2" w:rsidR="00B21C3F" w:rsidRPr="00B21C3F" w:rsidRDefault="00A015AB" w:rsidP="00CB3EA4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  <w:r>
              <w:t xml:space="preserve">seek the </w:t>
            </w:r>
            <w:r w:rsidRPr="00272D38">
              <w:t xml:space="preserve">inclusion of </w:t>
            </w:r>
            <w:r>
              <w:t>SFA-U</w:t>
            </w:r>
            <w:r>
              <w:t>T</w:t>
            </w:r>
            <w:r w:rsidRPr="00272D38">
              <w:t xml:space="preserve"> </w:t>
            </w:r>
            <w:r>
              <w:t xml:space="preserve">initially </w:t>
            </w:r>
            <w:r w:rsidRPr="00272D38">
              <w:t>in the same athletic conferences, and participation in the same National Collegiate Athletic Association division, as</w:t>
            </w:r>
            <w:r>
              <w:t xml:space="preserve"> SFA </w:t>
            </w:r>
            <w:r w:rsidRPr="00272D38">
              <w:t>immediately before its abolition.</w:t>
            </w:r>
          </w:p>
          <w:p w14:paraId="3868791B" w14:textId="3CC16F2F" w:rsidR="00A13C2A" w:rsidRDefault="00A13C2A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</w:p>
          <w:p w14:paraId="63D32F72" w14:textId="3363F988" w:rsidR="00100761" w:rsidRDefault="00A015AB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Faculty, Staff, and Students</w:t>
            </w:r>
          </w:p>
          <w:p w14:paraId="1D68AA8E" w14:textId="77777777" w:rsidR="00CB3EA4" w:rsidRPr="00A13C2A" w:rsidRDefault="00CB3EA4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</w:p>
          <w:p w14:paraId="5EA2A6F1" w14:textId="11BF93CF" w:rsidR="0036608C" w:rsidRDefault="00A015AB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7C1184">
              <w:t>H.B. 2639</w:t>
            </w:r>
            <w:r w:rsidR="00921020" w:rsidRPr="00272D38">
              <w:t xml:space="preserve"> requires </w:t>
            </w:r>
            <w:r w:rsidR="00072CD9">
              <w:t xml:space="preserve">the </w:t>
            </w:r>
            <w:r w:rsidR="00A13C2A">
              <w:t>UT</w:t>
            </w:r>
            <w:r w:rsidR="00921020" w:rsidRPr="00272D38">
              <w:t xml:space="preserve"> board</w:t>
            </w:r>
            <w:r>
              <w:t xml:space="preserve">, in </w:t>
            </w:r>
            <w:r>
              <w:t>recognition of the authorized abolition of SFA,</w:t>
            </w:r>
            <w:r w:rsidR="00921020" w:rsidRPr="00272D38">
              <w:t xml:space="preserve"> to facilitate the employment at </w:t>
            </w:r>
            <w:r w:rsidR="000C5A68">
              <w:t>SFA</w:t>
            </w:r>
            <w:r w:rsidR="00864867">
              <w:t>-UT</w:t>
            </w:r>
            <w:r w:rsidR="00921020" w:rsidRPr="00272D38">
              <w:t xml:space="preserve"> of as many faculty and staff of </w:t>
            </w:r>
            <w:r w:rsidR="00864867">
              <w:t>SFA</w:t>
            </w:r>
            <w:r w:rsidR="00921020" w:rsidRPr="00272D38">
              <w:t xml:space="preserve"> as is prudent and practical, subject t</w:t>
            </w:r>
            <w:r w:rsidR="009532D5">
              <w:t>o the following:</w:t>
            </w:r>
          </w:p>
          <w:p w14:paraId="422C77C3" w14:textId="78F1D77F" w:rsidR="0036608C" w:rsidRDefault="00A015AB" w:rsidP="00CB3EA4">
            <w:pPr>
              <w:pStyle w:val="Header"/>
              <w:numPr>
                <w:ilvl w:val="0"/>
                <w:numId w:val="14"/>
              </w:numPr>
              <w:jc w:val="both"/>
            </w:pPr>
            <w:r>
              <w:t>a person who is tenured faculty of SFA on the date of its abolition is entitle</w:t>
            </w:r>
            <w:r>
              <w:t>d to tenure at SFA-UT; and</w:t>
            </w:r>
          </w:p>
          <w:p w14:paraId="412FFA46" w14:textId="2448B1D8" w:rsidR="0036608C" w:rsidRDefault="00A015AB" w:rsidP="00CB3EA4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jc w:val="both"/>
            </w:pPr>
            <w:r>
              <w:t>a person who is in a tenure-track teaching position at SFA on the date of its abolition is entitled to a tenure-track position at SFA-UT and must be considered for tenure on the same schedule governing the position at SFA.</w:t>
            </w:r>
          </w:p>
          <w:p w14:paraId="68EE2554" w14:textId="11226A85" w:rsidR="0025425B" w:rsidRDefault="00A015AB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Moreov</w:t>
            </w:r>
            <w:r>
              <w:t xml:space="preserve">er, the bill </w:t>
            </w:r>
            <w:r w:rsidR="00864867">
              <w:t xml:space="preserve">authorizes the </w:t>
            </w:r>
            <w:r w:rsidR="00D942F0">
              <w:t>UT</w:t>
            </w:r>
            <w:r w:rsidR="00864867">
              <w:t xml:space="preserve"> board </w:t>
            </w:r>
            <w:r>
              <w:t xml:space="preserve">to </w:t>
            </w:r>
            <w:r w:rsidRPr="00272D38">
              <w:t xml:space="preserve">make joint faculty appointments to positions in </w:t>
            </w:r>
            <w:r w:rsidR="00864867">
              <w:t>SFA-UT and to positions in other</w:t>
            </w:r>
            <w:r w:rsidRPr="00272D38">
              <w:t xml:space="preserve"> institution</w:t>
            </w:r>
            <w:r w:rsidR="00864867">
              <w:t>s</w:t>
            </w:r>
            <w:r w:rsidRPr="00272D38">
              <w:t xml:space="preserve"> under the governance of the </w:t>
            </w:r>
            <w:r w:rsidR="00100761">
              <w:t xml:space="preserve">UT </w:t>
            </w:r>
            <w:r w:rsidRPr="00272D38">
              <w:t>board.</w:t>
            </w:r>
          </w:p>
          <w:p w14:paraId="5BBB75AF" w14:textId="436AC535" w:rsidR="00FF2025" w:rsidRDefault="00FF2025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21C544C" w14:textId="3CBF4409" w:rsidR="00FF2025" w:rsidRDefault="00A015AB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2639 </w:t>
            </w:r>
            <w:r w:rsidR="009532D5">
              <w:t xml:space="preserve">entitles a student admitted to or enrolled at SFA on the date of abolition to admission at SFA-UT and </w:t>
            </w:r>
            <w:r>
              <w:t>requires the UT board</w:t>
            </w:r>
            <w:r w:rsidR="00CB38B5">
              <w:t xml:space="preserve"> </w:t>
            </w:r>
            <w:r w:rsidRPr="00272D38">
              <w:t xml:space="preserve">to take actions necessary to facilitate </w:t>
            </w:r>
            <w:r>
              <w:t>th</w:t>
            </w:r>
            <w:r w:rsidR="00CB38B5">
              <w:t>at</w:t>
            </w:r>
            <w:r>
              <w:t xml:space="preserve"> </w:t>
            </w:r>
            <w:r w:rsidRPr="00272D38">
              <w:t>admission and</w:t>
            </w:r>
            <w:r w:rsidR="00CB38B5">
              <w:t xml:space="preserve"> the</w:t>
            </w:r>
            <w:r w:rsidRPr="00272D38">
              <w:t xml:space="preserve"> appropriate transfer of credits</w:t>
            </w:r>
            <w:r w:rsidR="007A5111">
              <w:t>.</w:t>
            </w:r>
          </w:p>
          <w:p w14:paraId="28AC3570" w14:textId="77777777" w:rsidR="002E751D" w:rsidRDefault="002E751D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</w:p>
          <w:p w14:paraId="1D9E9D7C" w14:textId="5363BC63" w:rsidR="00E7281B" w:rsidRDefault="00A015AB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Courses and Degrees; </w:t>
            </w:r>
            <w:r w:rsidRPr="00E7281B">
              <w:rPr>
                <w:b/>
                <w:bCs/>
              </w:rPr>
              <w:t>Texas Higher E</w:t>
            </w:r>
            <w:r w:rsidRPr="00E7281B">
              <w:rPr>
                <w:b/>
                <w:bCs/>
              </w:rPr>
              <w:t>ducation Coordinating Board Approval</w:t>
            </w:r>
          </w:p>
          <w:p w14:paraId="343F01A6" w14:textId="77777777" w:rsidR="00CB3EA4" w:rsidRDefault="00CB3EA4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</w:p>
          <w:p w14:paraId="3EF55BE9" w14:textId="15CC04EA" w:rsidR="00752A05" w:rsidRDefault="00A015AB" w:rsidP="00CB3EA4">
            <w:pPr>
              <w:pStyle w:val="Header"/>
              <w:jc w:val="both"/>
            </w:pPr>
            <w:r>
              <w:t>C.S.H.B. 2639 authorizes the UT board to prescribe courses leading to customary degrees offered at leading American universities and to award those degrees, including bachelor's, master's, and doctoral degrees and thei</w:t>
            </w:r>
            <w:r>
              <w:t>r equivalents. The degrees must be awarded in the name of SFA-UT.</w:t>
            </w:r>
          </w:p>
          <w:p w14:paraId="4C29296F" w14:textId="77777777" w:rsidR="00752A05" w:rsidRDefault="00752A05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CB58D5B" w14:textId="27693513" w:rsidR="00E7281B" w:rsidRDefault="00A015AB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  <w:r>
              <w:t>C.S.H.B. 2639</w:t>
            </w:r>
            <w:r w:rsidRPr="00272D38">
              <w:t xml:space="preserve"> prohibits a degree program </w:t>
            </w:r>
            <w:r w:rsidR="001A1427">
              <w:t>from being</w:t>
            </w:r>
            <w:r w:rsidRPr="00272D38">
              <w:t xml:space="preserve"> instituted </w:t>
            </w:r>
            <w:r w:rsidR="00E92032">
              <w:t xml:space="preserve">at SFA-UT </w:t>
            </w:r>
            <w:r w:rsidRPr="00272D38">
              <w:t xml:space="preserve">without the prior approval of the Texas Higher Education Coordinating Board, </w:t>
            </w:r>
            <w:r>
              <w:t xml:space="preserve">with certain </w:t>
            </w:r>
            <w:r w:rsidRPr="00272D38">
              <w:t>except</w:t>
            </w:r>
            <w:r>
              <w:t>ions based on previo</w:t>
            </w:r>
            <w:r>
              <w:t>us approval</w:t>
            </w:r>
            <w:r w:rsidR="001A1427">
              <w:t xml:space="preserve"> or express authorization.</w:t>
            </w:r>
          </w:p>
          <w:p w14:paraId="4C624732" w14:textId="77777777" w:rsidR="00E92032" w:rsidRDefault="00E92032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</w:p>
          <w:p w14:paraId="1CD31E71" w14:textId="702F156B" w:rsidR="00CC0ACC" w:rsidRDefault="00A015AB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  <w:r w:rsidRPr="00864867">
              <w:rPr>
                <w:b/>
                <w:bCs/>
              </w:rPr>
              <w:t>Transition</w:t>
            </w:r>
            <w:r>
              <w:rPr>
                <w:b/>
                <w:bCs/>
              </w:rPr>
              <w:t xml:space="preserve"> to UT System</w:t>
            </w:r>
          </w:p>
          <w:p w14:paraId="59559B16" w14:textId="77777777" w:rsidR="00CB3EA4" w:rsidRPr="00864867" w:rsidRDefault="00CB3EA4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</w:p>
          <w:p w14:paraId="1A5A1EEB" w14:textId="6CE7D2FC" w:rsidR="003E5DD5" w:rsidRDefault="00A015AB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</w:t>
            </w:r>
            <w:r w:rsidR="007C1184">
              <w:t>2639</w:t>
            </w:r>
            <w:r w:rsidR="007C1184" w:rsidRPr="00272D38">
              <w:t xml:space="preserve"> </w:t>
            </w:r>
            <w:r>
              <w:t xml:space="preserve">provides for the following with regard to </w:t>
            </w:r>
            <w:r w:rsidR="007A5111">
              <w:t>SFA's</w:t>
            </w:r>
            <w:r>
              <w:t xml:space="preserve"> transition </w:t>
            </w:r>
            <w:r w:rsidR="007A5111">
              <w:t>to</w:t>
            </w:r>
            <w:r>
              <w:t xml:space="preserve"> </w:t>
            </w:r>
            <w:r w:rsidR="007A5111">
              <w:t>t</w:t>
            </w:r>
            <w:r>
              <w:t xml:space="preserve">he UT </w:t>
            </w:r>
            <w:r w:rsidR="00BD408B">
              <w:t>s</w:t>
            </w:r>
            <w:r>
              <w:t>ystem:</w:t>
            </w:r>
          </w:p>
          <w:p w14:paraId="6CAA5ED8" w14:textId="64829A8A" w:rsidR="00587B6B" w:rsidRDefault="00A015AB" w:rsidP="00CB3EA4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jc w:val="both"/>
            </w:pPr>
            <w:r>
              <w:t>the transfer</w:t>
            </w:r>
            <w:r w:rsidR="009F78DB" w:rsidRPr="00272D38">
              <w:t xml:space="preserve">, on the date </w:t>
            </w:r>
            <w:r w:rsidR="00E93376">
              <w:t xml:space="preserve">of </w:t>
            </w:r>
            <w:r w:rsidR="007A5111">
              <w:t xml:space="preserve">SFA's </w:t>
            </w:r>
            <w:r w:rsidR="009F78DB" w:rsidRPr="00272D38">
              <w:t>aboli</w:t>
            </w:r>
            <w:r w:rsidR="00E93376">
              <w:t>tion</w:t>
            </w:r>
            <w:r w:rsidR="003B11C5">
              <w:t>,</w:t>
            </w:r>
            <w:r w:rsidR="009F78DB" w:rsidRPr="00272D38">
              <w:t xml:space="preserve"> </w:t>
            </w:r>
            <w:r>
              <w:t xml:space="preserve">of </w:t>
            </w:r>
            <w:r w:rsidR="009F78DB" w:rsidRPr="00272D38">
              <w:t xml:space="preserve">all money, property, and facilities under the management and control of the </w:t>
            </w:r>
            <w:r w:rsidR="00E93376">
              <w:t xml:space="preserve">SFA </w:t>
            </w:r>
            <w:r w:rsidR="009F78DB" w:rsidRPr="00272D38">
              <w:t xml:space="preserve">board to the management and control of </w:t>
            </w:r>
            <w:r w:rsidR="007172A6">
              <w:t>the s</w:t>
            </w:r>
            <w:r w:rsidR="009F78DB" w:rsidRPr="00272D38">
              <w:t>ystem</w:t>
            </w:r>
            <w:r w:rsidR="00E93376">
              <w:t xml:space="preserve"> board</w:t>
            </w:r>
            <w:r w:rsidR="009D080A">
              <w:t xml:space="preserve"> for the use and benefit of SFA-UT</w:t>
            </w:r>
            <w:r>
              <w:t>;</w:t>
            </w:r>
            <w:r w:rsidR="00090A69">
              <w:t xml:space="preserve"> </w:t>
            </w:r>
          </w:p>
          <w:p w14:paraId="6858880D" w14:textId="405A1622" w:rsidR="00587B6B" w:rsidRDefault="00A015AB" w:rsidP="00CB3EA4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</w:t>
            </w:r>
            <w:r w:rsidR="003B11C5">
              <w:t xml:space="preserve">transfer </w:t>
            </w:r>
            <w:r w:rsidR="007A5111">
              <w:t xml:space="preserve">to the UT board </w:t>
            </w:r>
            <w:r w:rsidR="003B11C5">
              <w:t>of responsibility</w:t>
            </w:r>
            <w:r>
              <w:t xml:space="preserve"> </w:t>
            </w:r>
            <w:r w:rsidR="003B11C5">
              <w:t>for all</w:t>
            </w:r>
            <w:r w:rsidR="005C77BD" w:rsidRPr="00272D38">
              <w:t xml:space="preserve"> contracts and other obligations</w:t>
            </w:r>
            <w:r w:rsidR="003B11C5">
              <w:t>, including bonds,</w:t>
            </w:r>
            <w:r w:rsidR="005C77BD" w:rsidRPr="00272D38">
              <w:t xml:space="preserve"> </w:t>
            </w:r>
            <w:r w:rsidR="001965BE" w:rsidRPr="00272D38">
              <w:t xml:space="preserve">entered into by the </w:t>
            </w:r>
            <w:r>
              <w:t xml:space="preserve">SFA </w:t>
            </w:r>
            <w:r w:rsidR="001965BE" w:rsidRPr="00272D38">
              <w:t xml:space="preserve">board or the Texas Public Finance Authority for and on behalf of </w:t>
            </w:r>
            <w:r>
              <w:t>SFA;</w:t>
            </w:r>
            <w:r w:rsidR="00D67B87" w:rsidRPr="00272D38">
              <w:t xml:space="preserve"> </w:t>
            </w:r>
          </w:p>
          <w:p w14:paraId="60513167" w14:textId="14961026" w:rsidR="00747985" w:rsidRDefault="00A015AB" w:rsidP="00CB3EA4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</w:t>
            </w:r>
            <w:r w:rsidR="00D67B87" w:rsidRPr="00272D38">
              <w:t>authori</w:t>
            </w:r>
            <w:r>
              <w:t>ty of</w:t>
            </w:r>
            <w:r w:rsidR="00D67B87" w:rsidRPr="00272D38">
              <w:t xml:space="preserve"> </w:t>
            </w:r>
            <w:r w:rsidR="00072CD9">
              <w:t>t</w:t>
            </w:r>
            <w:r w:rsidR="00D67B87" w:rsidRPr="00272D38">
              <w:t xml:space="preserve">he </w:t>
            </w:r>
            <w:r w:rsidR="00AF09BC">
              <w:t xml:space="preserve">UT </w:t>
            </w:r>
            <w:r w:rsidR="008F2E65">
              <w:t>board</w:t>
            </w:r>
            <w:r w:rsidR="00F10EFC" w:rsidRPr="00272D38">
              <w:t xml:space="preserve"> to impose and collect any fee</w:t>
            </w:r>
            <w:r w:rsidR="00DF5C2B" w:rsidRPr="00272D38">
              <w:t xml:space="preserve"> authorized </w:t>
            </w:r>
            <w:r w:rsidR="008F2E65">
              <w:t>by prior law</w:t>
            </w:r>
            <w:r w:rsidR="00AF09BC">
              <w:t xml:space="preserve"> for</w:t>
            </w:r>
            <w:r w:rsidR="008F2E65">
              <w:t xml:space="preserve"> SFA in a manner consistent with such law</w:t>
            </w:r>
            <w:r w:rsidR="007F0124">
              <w:t xml:space="preserve"> as it existed at </w:t>
            </w:r>
            <w:r w:rsidR="002629D7">
              <w:t>the time of abolition</w:t>
            </w:r>
            <w:r>
              <w:t>;</w:t>
            </w:r>
            <w:r w:rsidR="00D942F0">
              <w:t xml:space="preserve"> </w:t>
            </w:r>
          </w:p>
          <w:p w14:paraId="6012AA72" w14:textId="5587EBD9" w:rsidR="00587B6B" w:rsidRDefault="00A015AB" w:rsidP="00CB3EA4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jc w:val="both"/>
            </w:pPr>
            <w:r>
              <w:t>the eligibility of certain SFA employees</w:t>
            </w:r>
            <w:r w:rsidR="002629D7">
              <w:t xml:space="preserve"> </w:t>
            </w:r>
            <w:r w:rsidR="00F96CF9">
              <w:t xml:space="preserve">who </w:t>
            </w:r>
            <w:r>
              <w:t>participat</w:t>
            </w:r>
            <w:r w:rsidR="00F96CF9">
              <w:t>e, or would be eligible to participate at a future date, in</w:t>
            </w:r>
            <w:r>
              <w:t xml:space="preserve"> a </w:t>
            </w:r>
            <w:r w:rsidR="002629D7">
              <w:t xml:space="preserve">group benefits insurance </w:t>
            </w:r>
            <w:r>
              <w:t>program</w:t>
            </w:r>
            <w:r w:rsidR="007A3297">
              <w:t xml:space="preserve"> under the Texas Employees Group Benefits Act</w:t>
            </w:r>
            <w:r w:rsidR="00F96CF9">
              <w:t xml:space="preserve"> to participate in the uniform benefits insurance program</w:t>
            </w:r>
            <w:r w:rsidR="00A800F4">
              <w:t xml:space="preserve"> of</w:t>
            </w:r>
            <w:r w:rsidR="00F96CF9">
              <w:t xml:space="preserve"> the UT system</w:t>
            </w:r>
            <w:r w:rsidR="00557252">
              <w:t>;</w:t>
            </w:r>
          </w:p>
          <w:p w14:paraId="7B8A93DA" w14:textId="31831B42" w:rsidR="006C7A4E" w:rsidRDefault="00A015AB" w:rsidP="00CB3EA4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transfer to the UT system, from the </w:t>
            </w:r>
            <w:r w:rsidRPr="0019289A">
              <w:t>Employees Retirement System of Texas</w:t>
            </w:r>
            <w:r w:rsidR="00F16B13">
              <w:t xml:space="preserve"> on behalf of individuals who become participants in the uniform benefits insurance program</w:t>
            </w:r>
            <w:r>
              <w:t xml:space="preserve">, a </w:t>
            </w:r>
            <w:r w:rsidRPr="0019289A">
              <w:t>lump sum</w:t>
            </w:r>
            <w:r>
              <w:t xml:space="preserve"> </w:t>
            </w:r>
            <w:r w:rsidRPr="0019289A">
              <w:t>to preserve existing equities within the respective insurance programs</w:t>
            </w:r>
            <w:r w:rsidR="00557252">
              <w:t>; and</w:t>
            </w:r>
          </w:p>
          <w:p w14:paraId="7F33D16C" w14:textId="4A10FC91" w:rsidR="00131B6C" w:rsidRDefault="00A015AB" w:rsidP="00CB3EA4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to the extent that SFA has authorized but unissued bonding authority, the authority of the UT board to </w:t>
            </w:r>
            <w:r w:rsidRPr="00D82BA1">
              <w:t>issue bonds</w:t>
            </w:r>
            <w:r>
              <w:t xml:space="preserve"> in that amount and f</w:t>
            </w:r>
            <w:r>
              <w:t>or the same purposes under the systemwide revenue financing program for the benefit of SFA-UT.</w:t>
            </w:r>
          </w:p>
          <w:p w14:paraId="0DB13E46" w14:textId="7D576D56" w:rsidR="0062332B" w:rsidRDefault="0062332B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E0A6AC4" w14:textId="442B8684" w:rsidR="0062332B" w:rsidRDefault="00A015AB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UT System Component Institutions and Entities</w:t>
            </w:r>
          </w:p>
          <w:p w14:paraId="54D44287" w14:textId="77777777" w:rsidR="00CB3EA4" w:rsidRDefault="00CB3EA4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</w:p>
          <w:p w14:paraId="08D5B9BB" w14:textId="58CF0423" w:rsidR="0062332B" w:rsidRPr="00E82F5F" w:rsidRDefault="00A015AB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96AE3">
              <w:t xml:space="preserve">C.S.H.B. 2639 clarifies that the UT </w:t>
            </w:r>
            <w:r w:rsidR="0020514E">
              <w:t>s</w:t>
            </w:r>
            <w:r w:rsidRPr="00696AE3">
              <w:t xml:space="preserve">ystem includes The University of Texas at Tyler and The University of Texas </w:t>
            </w:r>
            <w:r w:rsidRPr="00696AE3">
              <w:t>Rio Grande Valley and does not include certain entities affiliated with component institutions.</w:t>
            </w:r>
          </w:p>
          <w:p w14:paraId="73C3095F" w14:textId="6C7F5C14" w:rsidR="007A5111" w:rsidRDefault="007A5111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28FD64E" w14:textId="6E09274E" w:rsidR="00637E07" w:rsidRDefault="00A015AB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  <w:r w:rsidRPr="007C1184">
              <w:rPr>
                <w:b/>
                <w:bCs/>
              </w:rPr>
              <w:t>Repealed Provisions</w:t>
            </w:r>
          </w:p>
          <w:p w14:paraId="7035DB9C" w14:textId="77777777" w:rsidR="00CB3EA4" w:rsidRPr="007C1184" w:rsidRDefault="00CB3EA4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</w:p>
          <w:p w14:paraId="7F11C3F6" w14:textId="08B63520" w:rsidR="006604A9" w:rsidRPr="00272D38" w:rsidRDefault="00A015AB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</w:t>
            </w:r>
            <w:r w:rsidRPr="00272D38">
              <w:t>2639 repeals Chapter 101</w:t>
            </w:r>
            <w:r w:rsidR="0089036E">
              <w:t>,</w:t>
            </w:r>
            <w:r w:rsidRPr="00272D38">
              <w:t xml:space="preserve"> Education Code</w:t>
            </w:r>
            <w:r w:rsidR="007C1184">
              <w:t>, effective on the designated abolition date of SFA</w:t>
            </w:r>
            <w:r w:rsidR="000345BE" w:rsidRPr="00272D38">
              <w:t>.</w:t>
            </w:r>
          </w:p>
          <w:p w14:paraId="4F3D6153" w14:textId="77777777" w:rsidR="008423E4" w:rsidRPr="00272D38" w:rsidRDefault="008423E4" w:rsidP="00CB3EA4">
            <w:pPr>
              <w:rPr>
                <w:b/>
              </w:rPr>
            </w:pPr>
          </w:p>
        </w:tc>
      </w:tr>
      <w:tr w:rsidR="00AD4BE5" w14:paraId="55F0AD02" w14:textId="77777777" w:rsidTr="00345119">
        <w:tc>
          <w:tcPr>
            <w:tcW w:w="9576" w:type="dxa"/>
          </w:tcPr>
          <w:p w14:paraId="1BAD4872" w14:textId="77777777" w:rsidR="008423E4" w:rsidRPr="00A8133F" w:rsidRDefault="00A015AB" w:rsidP="00CB3EA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1C10DF6" w14:textId="77777777" w:rsidR="008423E4" w:rsidRDefault="008423E4" w:rsidP="00CB3EA4"/>
          <w:p w14:paraId="1F6F3831" w14:textId="77777777" w:rsidR="008423E4" w:rsidRDefault="00A015AB" w:rsidP="00CB3EA4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Except as </w:t>
            </w:r>
            <w:r>
              <w:t>otherwise provided, o</w:t>
            </w:r>
            <w:r w:rsidR="00D9504B">
              <w:t xml:space="preserve">n passage, or, if the bill does not receive the necessary vote, </w:t>
            </w:r>
            <w:r w:rsidR="0089036E">
              <w:t>the bill has no effect.</w:t>
            </w:r>
          </w:p>
          <w:p w14:paraId="5AB7BD94" w14:textId="5D36EEAD" w:rsidR="00CB3EA4" w:rsidRPr="00233FDB" w:rsidRDefault="00CB3EA4" w:rsidP="00CB3EA4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AD4BE5" w14:paraId="2B048F98" w14:textId="77777777" w:rsidTr="00345119">
        <w:tc>
          <w:tcPr>
            <w:tcW w:w="9576" w:type="dxa"/>
          </w:tcPr>
          <w:p w14:paraId="6B47608E" w14:textId="77777777" w:rsidR="003229FA" w:rsidRPr="00696AE3" w:rsidRDefault="00A015AB" w:rsidP="00CB3EA4">
            <w:pPr>
              <w:jc w:val="both"/>
              <w:rPr>
                <w:b/>
                <w:u w:val="single"/>
              </w:rPr>
            </w:pPr>
            <w:r w:rsidRPr="00696AE3">
              <w:rPr>
                <w:b/>
                <w:u w:val="single"/>
              </w:rPr>
              <w:t>COMPARISON OF INTRODUCED AND SUBSTITUTE</w:t>
            </w:r>
          </w:p>
          <w:p w14:paraId="6F72A8CB" w14:textId="77777777" w:rsidR="00D05861" w:rsidRPr="00DA2A32" w:rsidRDefault="00D05861" w:rsidP="00CB3EA4">
            <w:pPr>
              <w:jc w:val="both"/>
              <w:rPr>
                <w:bCs/>
              </w:rPr>
            </w:pPr>
          </w:p>
          <w:p w14:paraId="0375E7DE" w14:textId="0D4A9DE2" w:rsidR="00D05861" w:rsidRPr="00DA2A32" w:rsidRDefault="00A015AB" w:rsidP="00CB3EA4">
            <w:pPr>
              <w:jc w:val="both"/>
              <w:rPr>
                <w:bCs/>
              </w:rPr>
            </w:pPr>
            <w:r w:rsidRPr="00DA2A32">
              <w:rPr>
                <w:bCs/>
              </w:rPr>
              <w:t>While C.S.H.B. 2639 may differ from the introduced in minor or nonsubstantive ways, the following summar</w:t>
            </w:r>
            <w:r w:rsidRPr="00DA2A32">
              <w:rPr>
                <w:bCs/>
              </w:rPr>
              <w:t>izes the substantial differences between the introduced and committee substitute versions of the bill.</w:t>
            </w:r>
          </w:p>
          <w:p w14:paraId="0297A239" w14:textId="0E372440" w:rsidR="00D05861" w:rsidRPr="00DA2A32" w:rsidRDefault="00D05861" w:rsidP="00CB3EA4">
            <w:pPr>
              <w:jc w:val="both"/>
              <w:rPr>
                <w:bCs/>
              </w:rPr>
            </w:pPr>
          </w:p>
          <w:p w14:paraId="38C284C8" w14:textId="3A46FAD1" w:rsidR="00ED26D1" w:rsidRDefault="00A015AB" w:rsidP="00CB3EA4">
            <w:pPr>
              <w:jc w:val="both"/>
              <w:rPr>
                <w:bCs/>
              </w:rPr>
            </w:pPr>
            <w:r w:rsidRPr="00DA2A32">
              <w:rPr>
                <w:bCs/>
              </w:rPr>
              <w:t>Whereas the introduced prohibit</w:t>
            </w:r>
            <w:r>
              <w:rPr>
                <w:bCs/>
              </w:rPr>
              <w:t>ed</w:t>
            </w:r>
            <w:r w:rsidRPr="00DA2A32">
              <w:rPr>
                <w:bCs/>
              </w:rPr>
              <w:t xml:space="preserve"> a department, school, or degree program </w:t>
            </w:r>
            <w:r w:rsidR="0020514E">
              <w:rPr>
                <w:bCs/>
              </w:rPr>
              <w:t xml:space="preserve">from being instituted </w:t>
            </w:r>
            <w:r w:rsidRPr="00DA2A32">
              <w:rPr>
                <w:bCs/>
              </w:rPr>
              <w:t xml:space="preserve">without prior </w:t>
            </w:r>
            <w:r w:rsidR="00BD408B" w:rsidRPr="00272D38">
              <w:t>Texas Higher Education Coordinating Board</w:t>
            </w:r>
            <w:r w:rsidR="00BD408B">
              <w:t xml:space="preserve"> </w:t>
            </w:r>
            <w:r w:rsidRPr="00DA2A32">
              <w:rPr>
                <w:bCs/>
              </w:rPr>
              <w:t>approval, the substitute</w:t>
            </w:r>
            <w:r w:rsidR="00EB4B51">
              <w:rPr>
                <w:bCs/>
              </w:rPr>
              <w:t xml:space="preserve"> prohibits only </w:t>
            </w:r>
            <w:r w:rsidR="00F95549" w:rsidRPr="00DA2A32">
              <w:rPr>
                <w:bCs/>
              </w:rPr>
              <w:t>a degree program</w:t>
            </w:r>
            <w:r w:rsidR="0020514E">
              <w:rPr>
                <w:bCs/>
              </w:rPr>
              <w:t xml:space="preserve"> from being instituted</w:t>
            </w:r>
            <w:r w:rsidR="00F95549" w:rsidRPr="00DA2A32">
              <w:rPr>
                <w:bCs/>
              </w:rPr>
              <w:t>.</w:t>
            </w:r>
          </w:p>
          <w:p w14:paraId="124D05D6" w14:textId="2F5DB3AB" w:rsidR="00ED26D1" w:rsidRDefault="00A015AB" w:rsidP="00CB3EA4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7B90293D" w14:textId="14BDAEDD" w:rsidR="00F95549" w:rsidRDefault="00A015AB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>
              <w:rPr>
                <w:bCs/>
              </w:rPr>
              <w:t>Whereas the introduced provided for the retained eligibility and service credit for certain SFA employees who participate in an applicable</w:t>
            </w:r>
            <w:r>
              <w:t xml:space="preserve"> group benefits insurance program, </w:t>
            </w:r>
            <w:r>
              <w:rPr>
                <w:bCs/>
              </w:rPr>
              <w:t>t</w:t>
            </w:r>
            <w:r w:rsidR="008C67CC" w:rsidRPr="00DA2A32">
              <w:rPr>
                <w:bCs/>
              </w:rPr>
              <w:t xml:space="preserve">he substitute </w:t>
            </w:r>
            <w:r>
              <w:rPr>
                <w:bCs/>
              </w:rPr>
              <w:t xml:space="preserve">provides for such employees to </w:t>
            </w:r>
            <w:r>
              <w:t xml:space="preserve">participate in the uniform benefits insurance program of the UT </w:t>
            </w:r>
            <w:r w:rsidR="00BD408B">
              <w:t>s</w:t>
            </w:r>
            <w:r>
              <w:t xml:space="preserve">ystem and for the related transfer </w:t>
            </w:r>
            <w:r w:rsidRPr="00DA2A32">
              <w:rPr>
                <w:bCs/>
              </w:rPr>
              <w:t>of money to preserve existing equities within the respective insurance programs.</w:t>
            </w:r>
          </w:p>
          <w:p w14:paraId="52ED16D2" w14:textId="6C915273" w:rsidR="00370A5A" w:rsidRDefault="00370A5A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</w:p>
          <w:p w14:paraId="1E14EFA7" w14:textId="1E536E18" w:rsidR="00370A5A" w:rsidRDefault="00A015AB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>
              <w:rPr>
                <w:bCs/>
              </w:rPr>
              <w:t>The substitute includes a spe</w:t>
            </w:r>
            <w:r>
              <w:rPr>
                <w:bCs/>
              </w:rPr>
              <w:t xml:space="preserve">cification </w:t>
            </w:r>
            <w:r w:rsidR="00C6352E">
              <w:rPr>
                <w:bCs/>
              </w:rPr>
              <w:t xml:space="preserve">absent from the introduced </w:t>
            </w:r>
            <w:r>
              <w:rPr>
                <w:bCs/>
              </w:rPr>
              <w:t xml:space="preserve">that the transfer of all money, property, and facilities </w:t>
            </w:r>
            <w:r w:rsidR="00C6352E">
              <w:rPr>
                <w:bCs/>
              </w:rPr>
              <w:t>under the management and control of the SFA board to the management and control of the UT board is for the use and benefit of SFA-UT.</w:t>
            </w:r>
          </w:p>
          <w:p w14:paraId="5DF046CF" w14:textId="6ED15732" w:rsidR="00A800F4" w:rsidRDefault="00A800F4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</w:p>
          <w:p w14:paraId="5C0B04DD" w14:textId="29732E9E" w:rsidR="00F95549" w:rsidRDefault="00A015AB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The substitute includes a </w:t>
            </w:r>
            <w:r>
              <w:rPr>
                <w:bCs/>
              </w:rPr>
              <w:t xml:space="preserve">provision not present in the introduced </w:t>
            </w:r>
            <w:r w:rsidR="00D04B42">
              <w:rPr>
                <w:bCs/>
              </w:rPr>
              <w:t>relating to</w:t>
            </w:r>
            <w:r w:rsidR="008C67CC" w:rsidRPr="00DA2A32">
              <w:rPr>
                <w:bCs/>
              </w:rPr>
              <w:t xml:space="preserve"> </w:t>
            </w:r>
            <w:r w:rsidR="00D04B42">
              <w:rPr>
                <w:bCs/>
              </w:rPr>
              <w:t>t</w:t>
            </w:r>
            <w:r w:rsidRPr="00DA2A32">
              <w:rPr>
                <w:bCs/>
              </w:rPr>
              <w:t xml:space="preserve">he </w:t>
            </w:r>
            <w:r w:rsidR="00D04B42">
              <w:rPr>
                <w:bCs/>
              </w:rPr>
              <w:t xml:space="preserve">authority of the </w:t>
            </w:r>
            <w:r w:rsidR="008C67CC" w:rsidRPr="00DA2A32">
              <w:rPr>
                <w:bCs/>
              </w:rPr>
              <w:t xml:space="preserve">UT board </w:t>
            </w:r>
            <w:r w:rsidRPr="00DA2A32">
              <w:rPr>
                <w:bCs/>
              </w:rPr>
              <w:t xml:space="preserve">to issue </w:t>
            </w:r>
            <w:r>
              <w:rPr>
                <w:bCs/>
              </w:rPr>
              <w:t xml:space="preserve">specified </w:t>
            </w:r>
            <w:r w:rsidRPr="00DA2A32">
              <w:rPr>
                <w:bCs/>
              </w:rPr>
              <w:t>bonds</w:t>
            </w:r>
            <w:r>
              <w:rPr>
                <w:bCs/>
              </w:rPr>
              <w:t xml:space="preserve"> to the extent that SFA has authorized but</w:t>
            </w:r>
            <w:r w:rsidRPr="00DA2A32">
              <w:rPr>
                <w:bCs/>
              </w:rPr>
              <w:t xml:space="preserve"> unissued bonding authority</w:t>
            </w:r>
            <w:r>
              <w:rPr>
                <w:bCs/>
              </w:rPr>
              <w:t>.</w:t>
            </w:r>
          </w:p>
          <w:p w14:paraId="39A6B3EB" w14:textId="77777777" w:rsidR="00EE3226" w:rsidRPr="00DA2A32" w:rsidRDefault="00EE3226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</w:p>
          <w:p w14:paraId="6B6528F6" w14:textId="30036E55" w:rsidR="008C67CC" w:rsidRDefault="00A015AB" w:rsidP="00CB3EA4">
            <w:pPr>
              <w:jc w:val="both"/>
              <w:rPr>
                <w:bCs/>
              </w:rPr>
            </w:pPr>
            <w:r w:rsidRPr="00DA2A32">
              <w:rPr>
                <w:bCs/>
              </w:rPr>
              <w:t xml:space="preserve">The substitute </w:t>
            </w:r>
            <w:r w:rsidR="00EE3226">
              <w:rPr>
                <w:bCs/>
              </w:rPr>
              <w:t xml:space="preserve">includes adjustments to the amounts allocated by the equitable allocation formula </w:t>
            </w:r>
            <w:r w:rsidR="00B2717B">
              <w:rPr>
                <w:bCs/>
              </w:rPr>
              <w:t>and establishes the effective date for those adjusted allocations, whereas the introduced did not provide for th</w:t>
            </w:r>
            <w:r w:rsidR="00BD408B">
              <w:rPr>
                <w:bCs/>
              </w:rPr>
              <w:t>ose</w:t>
            </w:r>
            <w:r w:rsidR="00B2717B">
              <w:rPr>
                <w:bCs/>
              </w:rPr>
              <w:t xml:space="preserve"> changes under the equ</w:t>
            </w:r>
            <w:r w:rsidR="00B04AA5">
              <w:rPr>
                <w:bCs/>
              </w:rPr>
              <w:t>ita</w:t>
            </w:r>
            <w:r w:rsidR="00B2717B">
              <w:rPr>
                <w:bCs/>
              </w:rPr>
              <w:t>ble allocation formula.</w:t>
            </w:r>
          </w:p>
          <w:p w14:paraId="1FE74F7B" w14:textId="5D1347FD" w:rsidR="0062332B" w:rsidRDefault="0062332B" w:rsidP="00CB3EA4">
            <w:pPr>
              <w:jc w:val="both"/>
              <w:rPr>
                <w:bCs/>
              </w:rPr>
            </w:pPr>
          </w:p>
          <w:p w14:paraId="47BD9F02" w14:textId="1FB7188A" w:rsidR="0062332B" w:rsidRDefault="00A015AB" w:rsidP="00CB3EA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>
              <w:rPr>
                <w:bCs/>
              </w:rPr>
              <w:t>Whereas b</w:t>
            </w:r>
            <w:r>
              <w:rPr>
                <w:bCs/>
              </w:rPr>
              <w:t xml:space="preserve">oth the introduced and substitute expand the components of the UT system to include SFA-UT, the substitute also </w:t>
            </w:r>
            <w:r w:rsidR="007A1525">
              <w:rPr>
                <w:bCs/>
              </w:rPr>
              <w:t>clarifies that</w:t>
            </w:r>
            <w:r>
              <w:rPr>
                <w:bCs/>
              </w:rPr>
              <w:t xml:space="preserve"> The University of Texas at Tyler and The University of Texas Rio Grande Valley</w:t>
            </w:r>
            <w:r w:rsidR="007A1525">
              <w:rPr>
                <w:bCs/>
              </w:rPr>
              <w:t xml:space="preserve"> are components of the UT system</w:t>
            </w:r>
            <w:r>
              <w:rPr>
                <w:bCs/>
              </w:rPr>
              <w:t>. Additionally, the</w:t>
            </w:r>
            <w:r>
              <w:rPr>
                <w:bCs/>
              </w:rPr>
              <w:t xml:space="preserve"> substitute </w:t>
            </w:r>
            <w:r w:rsidR="007A1525">
              <w:rPr>
                <w:bCs/>
              </w:rPr>
              <w:t>clarifies</w:t>
            </w:r>
            <w:r>
              <w:rPr>
                <w:bCs/>
              </w:rPr>
              <w:t xml:space="preserve"> </w:t>
            </w:r>
            <w:r w:rsidR="007A1525">
              <w:rPr>
                <w:bCs/>
              </w:rPr>
              <w:t>that the UT system</w:t>
            </w:r>
            <w:r w:rsidR="007A1525" w:rsidRPr="0020514E">
              <w:rPr>
                <w:bCs/>
              </w:rPr>
              <w:t xml:space="preserve"> </w:t>
            </w:r>
            <w:r w:rsidR="007A1525" w:rsidRPr="00696AE3">
              <w:t>does not include certain entities affiliated with component institutions.</w:t>
            </w:r>
          </w:p>
          <w:p w14:paraId="4495344F" w14:textId="5F1D43F8" w:rsidR="00D05861" w:rsidRPr="00DA2A32" w:rsidRDefault="00D05861" w:rsidP="00CB3EA4">
            <w:pPr>
              <w:jc w:val="both"/>
              <w:rPr>
                <w:bCs/>
                <w:u w:val="single"/>
              </w:rPr>
            </w:pPr>
          </w:p>
        </w:tc>
      </w:tr>
      <w:tr w:rsidR="00AD4BE5" w14:paraId="4D6144EA" w14:textId="77777777" w:rsidTr="00345119">
        <w:tc>
          <w:tcPr>
            <w:tcW w:w="9576" w:type="dxa"/>
          </w:tcPr>
          <w:p w14:paraId="14E5C272" w14:textId="77777777" w:rsidR="003229FA" w:rsidRPr="009C1E9A" w:rsidRDefault="003229FA" w:rsidP="00CB3EA4">
            <w:pPr>
              <w:rPr>
                <w:b/>
                <w:u w:val="single"/>
              </w:rPr>
            </w:pPr>
          </w:p>
        </w:tc>
      </w:tr>
      <w:tr w:rsidR="00AD4BE5" w14:paraId="004E1F88" w14:textId="77777777" w:rsidTr="00345119">
        <w:tc>
          <w:tcPr>
            <w:tcW w:w="9576" w:type="dxa"/>
          </w:tcPr>
          <w:p w14:paraId="631D90EF" w14:textId="77777777" w:rsidR="003229FA" w:rsidRPr="003229FA" w:rsidRDefault="003229FA" w:rsidP="00CB3EA4">
            <w:pPr>
              <w:jc w:val="both"/>
            </w:pPr>
          </w:p>
        </w:tc>
      </w:tr>
    </w:tbl>
    <w:p w14:paraId="0D2A0231" w14:textId="77777777" w:rsidR="008423E4" w:rsidRPr="00BE0E75" w:rsidRDefault="008423E4" w:rsidP="00CB3EA4">
      <w:pPr>
        <w:jc w:val="both"/>
        <w:rPr>
          <w:rFonts w:ascii="Arial" w:hAnsi="Arial"/>
          <w:sz w:val="16"/>
          <w:szCs w:val="16"/>
        </w:rPr>
      </w:pPr>
    </w:p>
    <w:p w14:paraId="1FA2CAD3" w14:textId="77777777" w:rsidR="004108C3" w:rsidRPr="008423E4" w:rsidRDefault="004108C3" w:rsidP="00CB3EA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A9ACA" w14:textId="77777777" w:rsidR="00000000" w:rsidRDefault="00A015AB">
      <w:r>
        <w:separator/>
      </w:r>
    </w:p>
  </w:endnote>
  <w:endnote w:type="continuationSeparator" w:id="0">
    <w:p w14:paraId="6ADDAF8E" w14:textId="77777777" w:rsidR="00000000" w:rsidRDefault="00A0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93C14" w14:textId="77777777" w:rsidR="00B56421" w:rsidRDefault="00B564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D4BE5" w14:paraId="03E25E68" w14:textId="77777777" w:rsidTr="009C1E9A">
      <w:trPr>
        <w:cantSplit/>
      </w:trPr>
      <w:tc>
        <w:tcPr>
          <w:tcW w:w="0" w:type="pct"/>
        </w:tcPr>
        <w:p w14:paraId="2ADAD35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7EAA97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074138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01EA91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34AB3D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D4BE5" w14:paraId="0B9FE968" w14:textId="77777777" w:rsidTr="009C1E9A">
      <w:trPr>
        <w:cantSplit/>
      </w:trPr>
      <w:tc>
        <w:tcPr>
          <w:tcW w:w="0" w:type="pct"/>
        </w:tcPr>
        <w:p w14:paraId="1E4C75B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64C3D86" w14:textId="2DAAB8D6" w:rsidR="00EC379B" w:rsidRPr="009C1E9A" w:rsidRDefault="00A015A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22070-D</w:t>
          </w:r>
        </w:p>
      </w:tc>
      <w:tc>
        <w:tcPr>
          <w:tcW w:w="2453" w:type="pct"/>
        </w:tcPr>
        <w:p w14:paraId="65E1344A" w14:textId="26307173" w:rsidR="00EC379B" w:rsidRDefault="00A015A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B6BD3">
            <w:t>23.95.375</w:t>
          </w:r>
          <w:r>
            <w:fldChar w:fldCharType="end"/>
          </w:r>
        </w:p>
      </w:tc>
    </w:tr>
    <w:tr w:rsidR="00AD4BE5" w14:paraId="1D89E287" w14:textId="77777777" w:rsidTr="009C1E9A">
      <w:trPr>
        <w:cantSplit/>
      </w:trPr>
      <w:tc>
        <w:tcPr>
          <w:tcW w:w="0" w:type="pct"/>
        </w:tcPr>
        <w:p w14:paraId="10C9EB3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D5050F4" w14:textId="4BBB941F" w:rsidR="00EC379B" w:rsidRPr="009C1E9A" w:rsidRDefault="00A015A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Substitute Document Number: 88R </w:t>
          </w:r>
          <w:r>
            <w:rPr>
              <w:rFonts w:ascii="Shruti" w:hAnsi="Shruti"/>
              <w:sz w:val="22"/>
            </w:rPr>
            <w:t>19879</w:t>
          </w:r>
        </w:p>
      </w:tc>
      <w:tc>
        <w:tcPr>
          <w:tcW w:w="2453" w:type="pct"/>
        </w:tcPr>
        <w:p w14:paraId="7D3E632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D6F9A9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D4BE5" w14:paraId="3BD0B52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DC428D0" w14:textId="77777777" w:rsidR="00EC379B" w:rsidRDefault="00A015A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95E903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0C3559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63A7" w14:textId="77777777" w:rsidR="00B56421" w:rsidRDefault="00B56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6C5C0" w14:textId="77777777" w:rsidR="00000000" w:rsidRDefault="00A015AB">
      <w:r>
        <w:separator/>
      </w:r>
    </w:p>
  </w:footnote>
  <w:footnote w:type="continuationSeparator" w:id="0">
    <w:p w14:paraId="36A93448" w14:textId="77777777" w:rsidR="00000000" w:rsidRDefault="00A01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30BD0" w14:textId="77777777" w:rsidR="00B56421" w:rsidRDefault="00B564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9E7D7" w14:textId="77777777" w:rsidR="00B56421" w:rsidRDefault="00B564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31721" w14:textId="77777777" w:rsidR="00B56421" w:rsidRDefault="00B564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E2231"/>
    <w:multiLevelType w:val="hybridMultilevel"/>
    <w:tmpl w:val="B2E232A8"/>
    <w:lvl w:ilvl="0" w:tplc="1256DF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4AD4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5287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ECC1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204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ACFC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205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1C50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FC08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F7FAF"/>
    <w:multiLevelType w:val="hybridMultilevel"/>
    <w:tmpl w:val="54C8E6D6"/>
    <w:lvl w:ilvl="0" w:tplc="101E90AA">
      <w:start w:val="1"/>
      <w:numFmt w:val="decimal"/>
      <w:lvlText w:val="%1."/>
      <w:lvlJc w:val="left"/>
      <w:pPr>
        <w:ind w:left="720" w:hanging="360"/>
      </w:pPr>
    </w:lvl>
    <w:lvl w:ilvl="1" w:tplc="3D82FC14" w:tentative="1">
      <w:start w:val="1"/>
      <w:numFmt w:val="lowerLetter"/>
      <w:lvlText w:val="%2."/>
      <w:lvlJc w:val="left"/>
      <w:pPr>
        <w:ind w:left="1440" w:hanging="360"/>
      </w:pPr>
    </w:lvl>
    <w:lvl w:ilvl="2" w:tplc="23249E04" w:tentative="1">
      <w:start w:val="1"/>
      <w:numFmt w:val="lowerRoman"/>
      <w:lvlText w:val="%3."/>
      <w:lvlJc w:val="right"/>
      <w:pPr>
        <w:ind w:left="2160" w:hanging="180"/>
      </w:pPr>
    </w:lvl>
    <w:lvl w:ilvl="3" w:tplc="8814EB9A" w:tentative="1">
      <w:start w:val="1"/>
      <w:numFmt w:val="decimal"/>
      <w:lvlText w:val="%4."/>
      <w:lvlJc w:val="left"/>
      <w:pPr>
        <w:ind w:left="2880" w:hanging="360"/>
      </w:pPr>
    </w:lvl>
    <w:lvl w:ilvl="4" w:tplc="0BF63A68" w:tentative="1">
      <w:start w:val="1"/>
      <w:numFmt w:val="lowerLetter"/>
      <w:lvlText w:val="%5."/>
      <w:lvlJc w:val="left"/>
      <w:pPr>
        <w:ind w:left="3600" w:hanging="360"/>
      </w:pPr>
    </w:lvl>
    <w:lvl w:ilvl="5" w:tplc="186437CE" w:tentative="1">
      <w:start w:val="1"/>
      <w:numFmt w:val="lowerRoman"/>
      <w:lvlText w:val="%6."/>
      <w:lvlJc w:val="right"/>
      <w:pPr>
        <w:ind w:left="4320" w:hanging="180"/>
      </w:pPr>
    </w:lvl>
    <w:lvl w:ilvl="6" w:tplc="37B23AA8" w:tentative="1">
      <w:start w:val="1"/>
      <w:numFmt w:val="decimal"/>
      <w:lvlText w:val="%7."/>
      <w:lvlJc w:val="left"/>
      <w:pPr>
        <w:ind w:left="5040" w:hanging="360"/>
      </w:pPr>
    </w:lvl>
    <w:lvl w:ilvl="7" w:tplc="8CC2976C" w:tentative="1">
      <w:start w:val="1"/>
      <w:numFmt w:val="lowerLetter"/>
      <w:lvlText w:val="%8."/>
      <w:lvlJc w:val="left"/>
      <w:pPr>
        <w:ind w:left="5760" w:hanging="360"/>
      </w:pPr>
    </w:lvl>
    <w:lvl w:ilvl="8" w:tplc="7972AF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56ED0"/>
    <w:multiLevelType w:val="hybridMultilevel"/>
    <w:tmpl w:val="F7DAF1E6"/>
    <w:lvl w:ilvl="0" w:tplc="D73A6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C81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3E90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9ACC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7AB1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32CE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F292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E99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EEE9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C476B"/>
    <w:multiLevelType w:val="hybridMultilevel"/>
    <w:tmpl w:val="21D08B06"/>
    <w:lvl w:ilvl="0" w:tplc="62ACEB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8AC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B2E5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3CDD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EFF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30B7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E43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F65C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9438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D01A8"/>
    <w:multiLevelType w:val="hybridMultilevel"/>
    <w:tmpl w:val="99EA1CDE"/>
    <w:lvl w:ilvl="0" w:tplc="6BB0B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1A1D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5C70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4CB8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6005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480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A846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A58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96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D7B4A"/>
    <w:multiLevelType w:val="hybridMultilevel"/>
    <w:tmpl w:val="0F9AC76A"/>
    <w:lvl w:ilvl="0" w:tplc="E75C5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82D3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5213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9AC3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FC0D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AAA4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E72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26D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2674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C0658"/>
    <w:multiLevelType w:val="hybridMultilevel"/>
    <w:tmpl w:val="2AE03B14"/>
    <w:lvl w:ilvl="0" w:tplc="E6606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6A58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08B2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A0E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929E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6E3B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28CC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009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22F2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6577C"/>
    <w:multiLevelType w:val="hybridMultilevel"/>
    <w:tmpl w:val="520AA466"/>
    <w:lvl w:ilvl="0" w:tplc="28A48D2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1AFA5F0E" w:tentative="1">
      <w:start w:val="1"/>
      <w:numFmt w:val="lowerLetter"/>
      <w:lvlText w:val="%2."/>
      <w:lvlJc w:val="left"/>
      <w:pPr>
        <w:ind w:left="1440" w:hanging="360"/>
      </w:pPr>
    </w:lvl>
    <w:lvl w:ilvl="2" w:tplc="21AAF9E8" w:tentative="1">
      <w:start w:val="1"/>
      <w:numFmt w:val="lowerRoman"/>
      <w:lvlText w:val="%3."/>
      <w:lvlJc w:val="right"/>
      <w:pPr>
        <w:ind w:left="2160" w:hanging="180"/>
      </w:pPr>
    </w:lvl>
    <w:lvl w:ilvl="3" w:tplc="D55A6E2E" w:tentative="1">
      <w:start w:val="1"/>
      <w:numFmt w:val="decimal"/>
      <w:lvlText w:val="%4."/>
      <w:lvlJc w:val="left"/>
      <w:pPr>
        <w:ind w:left="2880" w:hanging="360"/>
      </w:pPr>
    </w:lvl>
    <w:lvl w:ilvl="4" w:tplc="41D61C18" w:tentative="1">
      <w:start w:val="1"/>
      <w:numFmt w:val="lowerLetter"/>
      <w:lvlText w:val="%5."/>
      <w:lvlJc w:val="left"/>
      <w:pPr>
        <w:ind w:left="3600" w:hanging="360"/>
      </w:pPr>
    </w:lvl>
    <w:lvl w:ilvl="5" w:tplc="2AB821B0" w:tentative="1">
      <w:start w:val="1"/>
      <w:numFmt w:val="lowerRoman"/>
      <w:lvlText w:val="%6."/>
      <w:lvlJc w:val="right"/>
      <w:pPr>
        <w:ind w:left="4320" w:hanging="180"/>
      </w:pPr>
    </w:lvl>
    <w:lvl w:ilvl="6" w:tplc="C4D2252E" w:tentative="1">
      <w:start w:val="1"/>
      <w:numFmt w:val="decimal"/>
      <w:lvlText w:val="%7."/>
      <w:lvlJc w:val="left"/>
      <w:pPr>
        <w:ind w:left="5040" w:hanging="360"/>
      </w:pPr>
    </w:lvl>
    <w:lvl w:ilvl="7" w:tplc="ADD0791C" w:tentative="1">
      <w:start w:val="1"/>
      <w:numFmt w:val="lowerLetter"/>
      <w:lvlText w:val="%8."/>
      <w:lvlJc w:val="left"/>
      <w:pPr>
        <w:ind w:left="5760" w:hanging="360"/>
      </w:pPr>
    </w:lvl>
    <w:lvl w:ilvl="8" w:tplc="9AC06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A4A9F"/>
    <w:multiLevelType w:val="hybridMultilevel"/>
    <w:tmpl w:val="D36C7CD6"/>
    <w:lvl w:ilvl="0" w:tplc="335A5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EED5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90A1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04E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A3B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B62E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5C71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463B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5065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8195A"/>
    <w:multiLevelType w:val="hybridMultilevel"/>
    <w:tmpl w:val="8652735C"/>
    <w:lvl w:ilvl="0" w:tplc="4FFCEE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A8F3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02EA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84FE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D403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365C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D877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E6E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8E35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564B3"/>
    <w:multiLevelType w:val="hybridMultilevel"/>
    <w:tmpl w:val="8EB2A920"/>
    <w:lvl w:ilvl="0" w:tplc="386A8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322C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0251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66C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2EA1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10C0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DA96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470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384A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61DA2"/>
    <w:multiLevelType w:val="hybridMultilevel"/>
    <w:tmpl w:val="12C2057A"/>
    <w:lvl w:ilvl="0" w:tplc="5A8AD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3A7E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B4C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C9F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290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1881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EAEC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2A93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60F4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E3353"/>
    <w:multiLevelType w:val="hybridMultilevel"/>
    <w:tmpl w:val="4D9476F4"/>
    <w:lvl w:ilvl="0" w:tplc="2112F3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0C21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86E0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2B1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3CDB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927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58B2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E09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760B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154D6"/>
    <w:multiLevelType w:val="hybridMultilevel"/>
    <w:tmpl w:val="B96AAE2E"/>
    <w:lvl w:ilvl="0" w:tplc="DC4294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54B8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6A8E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8C14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201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364C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08E6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639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C208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E434F"/>
    <w:multiLevelType w:val="hybridMultilevel"/>
    <w:tmpl w:val="B9D80E28"/>
    <w:lvl w:ilvl="0" w:tplc="45288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A659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1E28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2655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0437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8890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E41D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1A11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C92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60613"/>
    <w:multiLevelType w:val="hybridMultilevel"/>
    <w:tmpl w:val="4790F366"/>
    <w:lvl w:ilvl="0" w:tplc="E206C3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6C62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C64A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EA75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803B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E456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9036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607D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4A45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15"/>
  </w:num>
  <w:num w:numId="7">
    <w:abstractNumId w:val="12"/>
  </w:num>
  <w:num w:numId="8">
    <w:abstractNumId w:val="3"/>
  </w:num>
  <w:num w:numId="9">
    <w:abstractNumId w:val="11"/>
  </w:num>
  <w:num w:numId="10">
    <w:abstractNumId w:val="4"/>
  </w:num>
  <w:num w:numId="11">
    <w:abstractNumId w:val="6"/>
  </w:num>
  <w:num w:numId="12">
    <w:abstractNumId w:val="5"/>
  </w:num>
  <w:num w:numId="13">
    <w:abstractNumId w:val="8"/>
  </w:num>
  <w:num w:numId="14">
    <w:abstractNumId w:val="10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98"/>
    <w:rsid w:val="00000A70"/>
    <w:rsid w:val="000032B8"/>
    <w:rsid w:val="00003B06"/>
    <w:rsid w:val="000054B9"/>
    <w:rsid w:val="00007461"/>
    <w:rsid w:val="0001117E"/>
    <w:rsid w:val="0001125F"/>
    <w:rsid w:val="0001336A"/>
    <w:rsid w:val="0001338E"/>
    <w:rsid w:val="000135CD"/>
    <w:rsid w:val="00013D24"/>
    <w:rsid w:val="00014439"/>
    <w:rsid w:val="00014AF0"/>
    <w:rsid w:val="000155D6"/>
    <w:rsid w:val="00015D4E"/>
    <w:rsid w:val="00016082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38B1"/>
    <w:rsid w:val="000345BE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48AB"/>
    <w:rsid w:val="000555E0"/>
    <w:rsid w:val="00055C12"/>
    <w:rsid w:val="000608B0"/>
    <w:rsid w:val="0006104C"/>
    <w:rsid w:val="00064BF2"/>
    <w:rsid w:val="000667BA"/>
    <w:rsid w:val="000676A7"/>
    <w:rsid w:val="00072CD9"/>
    <w:rsid w:val="00073914"/>
    <w:rsid w:val="00074236"/>
    <w:rsid w:val="000746BD"/>
    <w:rsid w:val="00076D7D"/>
    <w:rsid w:val="00080D95"/>
    <w:rsid w:val="000822F5"/>
    <w:rsid w:val="00090A69"/>
    <w:rsid w:val="00090D2D"/>
    <w:rsid w:val="00090E6B"/>
    <w:rsid w:val="00091B2C"/>
    <w:rsid w:val="00092ABC"/>
    <w:rsid w:val="00097AAF"/>
    <w:rsid w:val="00097D13"/>
    <w:rsid w:val="00097D4B"/>
    <w:rsid w:val="000A0640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04"/>
    <w:rsid w:val="000C49DA"/>
    <w:rsid w:val="000C4B3D"/>
    <w:rsid w:val="000C5A68"/>
    <w:rsid w:val="000C6DC1"/>
    <w:rsid w:val="000C6E20"/>
    <w:rsid w:val="000C76D7"/>
    <w:rsid w:val="000C7F1D"/>
    <w:rsid w:val="000D2EBA"/>
    <w:rsid w:val="000D32A1"/>
    <w:rsid w:val="000D3725"/>
    <w:rsid w:val="000D46E5"/>
    <w:rsid w:val="000D6917"/>
    <w:rsid w:val="000D769C"/>
    <w:rsid w:val="000E1976"/>
    <w:rsid w:val="000E20F1"/>
    <w:rsid w:val="000E355F"/>
    <w:rsid w:val="000E5B20"/>
    <w:rsid w:val="000E7C14"/>
    <w:rsid w:val="000F094C"/>
    <w:rsid w:val="000F1392"/>
    <w:rsid w:val="000F18A2"/>
    <w:rsid w:val="000F1AF8"/>
    <w:rsid w:val="000F2A7F"/>
    <w:rsid w:val="000F3DBD"/>
    <w:rsid w:val="000F5843"/>
    <w:rsid w:val="000F6A06"/>
    <w:rsid w:val="00100761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1B6C"/>
    <w:rsid w:val="00137D90"/>
    <w:rsid w:val="0014076B"/>
    <w:rsid w:val="00141FB6"/>
    <w:rsid w:val="00142F8E"/>
    <w:rsid w:val="00143C8B"/>
    <w:rsid w:val="00147530"/>
    <w:rsid w:val="00153076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5044"/>
    <w:rsid w:val="001664C2"/>
    <w:rsid w:val="00167BC0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6344"/>
    <w:rsid w:val="00187C1B"/>
    <w:rsid w:val="001908AC"/>
    <w:rsid w:val="00190CFB"/>
    <w:rsid w:val="0019289A"/>
    <w:rsid w:val="0019457A"/>
    <w:rsid w:val="00195257"/>
    <w:rsid w:val="00195388"/>
    <w:rsid w:val="0019539E"/>
    <w:rsid w:val="001965BE"/>
    <w:rsid w:val="001968BC"/>
    <w:rsid w:val="001A0739"/>
    <w:rsid w:val="001A0F00"/>
    <w:rsid w:val="001A1427"/>
    <w:rsid w:val="001A2BDD"/>
    <w:rsid w:val="001A3DDF"/>
    <w:rsid w:val="001A4310"/>
    <w:rsid w:val="001B053A"/>
    <w:rsid w:val="001B26D8"/>
    <w:rsid w:val="001B3146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2F6A"/>
    <w:rsid w:val="001D37A8"/>
    <w:rsid w:val="001D462E"/>
    <w:rsid w:val="001D7D52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514E"/>
    <w:rsid w:val="0020775D"/>
    <w:rsid w:val="002105B7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0D44"/>
    <w:rsid w:val="002317A9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425B"/>
    <w:rsid w:val="00255EB6"/>
    <w:rsid w:val="00257429"/>
    <w:rsid w:val="00260FA4"/>
    <w:rsid w:val="00261183"/>
    <w:rsid w:val="002627B9"/>
    <w:rsid w:val="002629D7"/>
    <w:rsid w:val="00262A66"/>
    <w:rsid w:val="00263140"/>
    <w:rsid w:val="002631C8"/>
    <w:rsid w:val="00264F46"/>
    <w:rsid w:val="00265133"/>
    <w:rsid w:val="00265A23"/>
    <w:rsid w:val="00267841"/>
    <w:rsid w:val="002710C3"/>
    <w:rsid w:val="00272D38"/>
    <w:rsid w:val="002734D6"/>
    <w:rsid w:val="00274C45"/>
    <w:rsid w:val="00275109"/>
    <w:rsid w:val="00275BEE"/>
    <w:rsid w:val="002770F6"/>
    <w:rsid w:val="00277434"/>
    <w:rsid w:val="00280123"/>
    <w:rsid w:val="00281343"/>
    <w:rsid w:val="00281883"/>
    <w:rsid w:val="00281B39"/>
    <w:rsid w:val="00283F99"/>
    <w:rsid w:val="002874E3"/>
    <w:rsid w:val="00287656"/>
    <w:rsid w:val="00291518"/>
    <w:rsid w:val="00291964"/>
    <w:rsid w:val="00295CD2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4566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59B8"/>
    <w:rsid w:val="002D7FD7"/>
    <w:rsid w:val="002E21B8"/>
    <w:rsid w:val="002E3858"/>
    <w:rsid w:val="002E751D"/>
    <w:rsid w:val="002E7DF9"/>
    <w:rsid w:val="002F097B"/>
    <w:rsid w:val="002F2147"/>
    <w:rsid w:val="002F3111"/>
    <w:rsid w:val="002F352A"/>
    <w:rsid w:val="002F4AEC"/>
    <w:rsid w:val="002F795D"/>
    <w:rsid w:val="00300823"/>
    <w:rsid w:val="00300D7F"/>
    <w:rsid w:val="00301638"/>
    <w:rsid w:val="00302F95"/>
    <w:rsid w:val="00303B0C"/>
    <w:rsid w:val="0030459C"/>
    <w:rsid w:val="0031173D"/>
    <w:rsid w:val="00313DFE"/>
    <w:rsid w:val="003143B2"/>
    <w:rsid w:val="00314821"/>
    <w:rsid w:val="0031483F"/>
    <w:rsid w:val="0031741B"/>
    <w:rsid w:val="00321337"/>
    <w:rsid w:val="00321F2F"/>
    <w:rsid w:val="003229FA"/>
    <w:rsid w:val="003237F6"/>
    <w:rsid w:val="00324077"/>
    <w:rsid w:val="0032453B"/>
    <w:rsid w:val="00324868"/>
    <w:rsid w:val="00327B09"/>
    <w:rsid w:val="003305F5"/>
    <w:rsid w:val="00333930"/>
    <w:rsid w:val="00336BA4"/>
    <w:rsid w:val="00336C7A"/>
    <w:rsid w:val="00337392"/>
    <w:rsid w:val="00337659"/>
    <w:rsid w:val="003427C9"/>
    <w:rsid w:val="00343690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3925"/>
    <w:rsid w:val="00364315"/>
    <w:rsid w:val="003643E2"/>
    <w:rsid w:val="0036608C"/>
    <w:rsid w:val="00370155"/>
    <w:rsid w:val="00370A5A"/>
    <w:rsid w:val="003712D5"/>
    <w:rsid w:val="00373528"/>
    <w:rsid w:val="00374574"/>
    <w:rsid w:val="003747DF"/>
    <w:rsid w:val="00377E3D"/>
    <w:rsid w:val="003847C2"/>
    <w:rsid w:val="003847E8"/>
    <w:rsid w:val="0038731D"/>
    <w:rsid w:val="00387B60"/>
    <w:rsid w:val="00390098"/>
    <w:rsid w:val="00392DA1"/>
    <w:rsid w:val="00393718"/>
    <w:rsid w:val="003939FB"/>
    <w:rsid w:val="003A0296"/>
    <w:rsid w:val="003A10BC"/>
    <w:rsid w:val="003B11C5"/>
    <w:rsid w:val="003B1501"/>
    <w:rsid w:val="003B185E"/>
    <w:rsid w:val="003B198A"/>
    <w:rsid w:val="003B1CA3"/>
    <w:rsid w:val="003B1CF9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C72C0"/>
    <w:rsid w:val="003D726D"/>
    <w:rsid w:val="003E0875"/>
    <w:rsid w:val="003E0BB8"/>
    <w:rsid w:val="003E5DD5"/>
    <w:rsid w:val="003E6CB0"/>
    <w:rsid w:val="003F15EA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1E17"/>
    <w:rsid w:val="004120CC"/>
    <w:rsid w:val="00412ED2"/>
    <w:rsid w:val="00412F0F"/>
    <w:rsid w:val="004134CE"/>
    <w:rsid w:val="004136A8"/>
    <w:rsid w:val="00413A1A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5715"/>
    <w:rsid w:val="00436980"/>
    <w:rsid w:val="00441016"/>
    <w:rsid w:val="00441F2F"/>
    <w:rsid w:val="0044228B"/>
    <w:rsid w:val="00447018"/>
    <w:rsid w:val="00450561"/>
    <w:rsid w:val="00450A40"/>
    <w:rsid w:val="00450F33"/>
    <w:rsid w:val="00451D7C"/>
    <w:rsid w:val="00452FC3"/>
    <w:rsid w:val="00454715"/>
    <w:rsid w:val="00455936"/>
    <w:rsid w:val="00455ACE"/>
    <w:rsid w:val="00461B69"/>
    <w:rsid w:val="00462B3D"/>
    <w:rsid w:val="00465B64"/>
    <w:rsid w:val="00467306"/>
    <w:rsid w:val="00474927"/>
    <w:rsid w:val="00475913"/>
    <w:rsid w:val="00476F11"/>
    <w:rsid w:val="00480080"/>
    <w:rsid w:val="004824A7"/>
    <w:rsid w:val="00483AF0"/>
    <w:rsid w:val="00484167"/>
    <w:rsid w:val="00485026"/>
    <w:rsid w:val="00486AD5"/>
    <w:rsid w:val="00492211"/>
    <w:rsid w:val="00492325"/>
    <w:rsid w:val="00492A6D"/>
    <w:rsid w:val="00494303"/>
    <w:rsid w:val="0049682B"/>
    <w:rsid w:val="00496C3C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B7801"/>
    <w:rsid w:val="004C302F"/>
    <w:rsid w:val="004C4609"/>
    <w:rsid w:val="004C4B8A"/>
    <w:rsid w:val="004C52EF"/>
    <w:rsid w:val="004C5812"/>
    <w:rsid w:val="004C5F34"/>
    <w:rsid w:val="004C600C"/>
    <w:rsid w:val="004C6775"/>
    <w:rsid w:val="004C7888"/>
    <w:rsid w:val="004D1AC9"/>
    <w:rsid w:val="004D27DE"/>
    <w:rsid w:val="004D3F41"/>
    <w:rsid w:val="004D5098"/>
    <w:rsid w:val="004D5BA6"/>
    <w:rsid w:val="004D6497"/>
    <w:rsid w:val="004D79E0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001"/>
    <w:rsid w:val="00500121"/>
    <w:rsid w:val="005017AC"/>
    <w:rsid w:val="00501E39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364D4"/>
    <w:rsid w:val="00541B98"/>
    <w:rsid w:val="00543374"/>
    <w:rsid w:val="0054459F"/>
    <w:rsid w:val="00545548"/>
    <w:rsid w:val="00546923"/>
    <w:rsid w:val="005512D2"/>
    <w:rsid w:val="00551CA6"/>
    <w:rsid w:val="00555034"/>
    <w:rsid w:val="005570D2"/>
    <w:rsid w:val="00557252"/>
    <w:rsid w:val="00561528"/>
    <w:rsid w:val="0056153F"/>
    <w:rsid w:val="00561B14"/>
    <w:rsid w:val="00562C87"/>
    <w:rsid w:val="005636BD"/>
    <w:rsid w:val="005666D5"/>
    <w:rsid w:val="005669A7"/>
    <w:rsid w:val="00572C7B"/>
    <w:rsid w:val="00573401"/>
    <w:rsid w:val="00576714"/>
    <w:rsid w:val="0057685A"/>
    <w:rsid w:val="005832EE"/>
    <w:rsid w:val="005847EF"/>
    <w:rsid w:val="00584B48"/>
    <w:rsid w:val="005851E6"/>
    <w:rsid w:val="005878B7"/>
    <w:rsid w:val="00587B6B"/>
    <w:rsid w:val="00592B8E"/>
    <w:rsid w:val="00592C9A"/>
    <w:rsid w:val="00593DF8"/>
    <w:rsid w:val="00593E85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4024"/>
    <w:rsid w:val="005B5516"/>
    <w:rsid w:val="005B5D2B"/>
    <w:rsid w:val="005C1496"/>
    <w:rsid w:val="005C17C5"/>
    <w:rsid w:val="005C2B21"/>
    <w:rsid w:val="005C2C00"/>
    <w:rsid w:val="005C4C6F"/>
    <w:rsid w:val="005C5127"/>
    <w:rsid w:val="005C77BD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5439"/>
    <w:rsid w:val="005E738F"/>
    <w:rsid w:val="005E788B"/>
    <w:rsid w:val="005F1519"/>
    <w:rsid w:val="005F256B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0FE"/>
    <w:rsid w:val="00617411"/>
    <w:rsid w:val="0062332B"/>
    <w:rsid w:val="006249CB"/>
    <w:rsid w:val="006272DD"/>
    <w:rsid w:val="00630963"/>
    <w:rsid w:val="00631897"/>
    <w:rsid w:val="00632928"/>
    <w:rsid w:val="006330DA"/>
    <w:rsid w:val="00633262"/>
    <w:rsid w:val="00633460"/>
    <w:rsid w:val="00637E07"/>
    <w:rsid w:val="006402E7"/>
    <w:rsid w:val="00640CB6"/>
    <w:rsid w:val="00641B42"/>
    <w:rsid w:val="00642938"/>
    <w:rsid w:val="00645750"/>
    <w:rsid w:val="00650692"/>
    <w:rsid w:val="006508D3"/>
    <w:rsid w:val="00650AFA"/>
    <w:rsid w:val="006604A9"/>
    <w:rsid w:val="00662B77"/>
    <w:rsid w:val="00662D0E"/>
    <w:rsid w:val="00663265"/>
    <w:rsid w:val="0066345F"/>
    <w:rsid w:val="0066485B"/>
    <w:rsid w:val="0067036E"/>
    <w:rsid w:val="00671693"/>
    <w:rsid w:val="006749D5"/>
    <w:rsid w:val="006757AA"/>
    <w:rsid w:val="0068127E"/>
    <w:rsid w:val="00681790"/>
    <w:rsid w:val="006823AA"/>
    <w:rsid w:val="0068302A"/>
    <w:rsid w:val="00684B98"/>
    <w:rsid w:val="00685601"/>
    <w:rsid w:val="00685DC9"/>
    <w:rsid w:val="00687465"/>
    <w:rsid w:val="006878D3"/>
    <w:rsid w:val="006907CF"/>
    <w:rsid w:val="00691CCF"/>
    <w:rsid w:val="00693AFA"/>
    <w:rsid w:val="00695101"/>
    <w:rsid w:val="00695B9A"/>
    <w:rsid w:val="00696563"/>
    <w:rsid w:val="00696AE3"/>
    <w:rsid w:val="006979F8"/>
    <w:rsid w:val="006A3487"/>
    <w:rsid w:val="006A4C81"/>
    <w:rsid w:val="006A6068"/>
    <w:rsid w:val="006B0175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7A4E"/>
    <w:rsid w:val="006D3005"/>
    <w:rsid w:val="006D504F"/>
    <w:rsid w:val="006D5452"/>
    <w:rsid w:val="006E0CAC"/>
    <w:rsid w:val="006E1CFB"/>
    <w:rsid w:val="006E1F94"/>
    <w:rsid w:val="006E26C1"/>
    <w:rsid w:val="006E30A8"/>
    <w:rsid w:val="006E45B0"/>
    <w:rsid w:val="006E5692"/>
    <w:rsid w:val="006F2431"/>
    <w:rsid w:val="006F365D"/>
    <w:rsid w:val="006F4BB0"/>
    <w:rsid w:val="007031BD"/>
    <w:rsid w:val="00703222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2A6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18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5DE7"/>
    <w:rsid w:val="00746767"/>
    <w:rsid w:val="00747985"/>
    <w:rsid w:val="007509BE"/>
    <w:rsid w:val="0075287B"/>
    <w:rsid w:val="00752A05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1525"/>
    <w:rsid w:val="007A21A7"/>
    <w:rsid w:val="007A3297"/>
    <w:rsid w:val="007A331F"/>
    <w:rsid w:val="007A3844"/>
    <w:rsid w:val="007A4381"/>
    <w:rsid w:val="007A5111"/>
    <w:rsid w:val="007A5466"/>
    <w:rsid w:val="007A69CB"/>
    <w:rsid w:val="007A7EC1"/>
    <w:rsid w:val="007B1A6B"/>
    <w:rsid w:val="007B3EC0"/>
    <w:rsid w:val="007B4FCA"/>
    <w:rsid w:val="007B7B85"/>
    <w:rsid w:val="007C1184"/>
    <w:rsid w:val="007C462E"/>
    <w:rsid w:val="007C496B"/>
    <w:rsid w:val="007C6803"/>
    <w:rsid w:val="007D2892"/>
    <w:rsid w:val="007D2DCC"/>
    <w:rsid w:val="007D47C6"/>
    <w:rsid w:val="007D47E1"/>
    <w:rsid w:val="007D583F"/>
    <w:rsid w:val="007D7FCB"/>
    <w:rsid w:val="007E33B6"/>
    <w:rsid w:val="007E59E8"/>
    <w:rsid w:val="007F0124"/>
    <w:rsid w:val="007F3861"/>
    <w:rsid w:val="007F4162"/>
    <w:rsid w:val="007F440B"/>
    <w:rsid w:val="007F5441"/>
    <w:rsid w:val="007F74F1"/>
    <w:rsid w:val="007F7668"/>
    <w:rsid w:val="00800C63"/>
    <w:rsid w:val="00802243"/>
    <w:rsid w:val="008023D4"/>
    <w:rsid w:val="00804124"/>
    <w:rsid w:val="00805402"/>
    <w:rsid w:val="0080765F"/>
    <w:rsid w:val="00812BE3"/>
    <w:rsid w:val="00812D8C"/>
    <w:rsid w:val="00814516"/>
    <w:rsid w:val="00815AAE"/>
    <w:rsid w:val="00815C9D"/>
    <w:rsid w:val="00816547"/>
    <w:rsid w:val="008170E2"/>
    <w:rsid w:val="008238AE"/>
    <w:rsid w:val="00823E4C"/>
    <w:rsid w:val="00824B29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2E10"/>
    <w:rsid w:val="0086477C"/>
    <w:rsid w:val="00864867"/>
    <w:rsid w:val="00864BAD"/>
    <w:rsid w:val="008666F1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774E0"/>
    <w:rsid w:val="008806EB"/>
    <w:rsid w:val="00880A49"/>
    <w:rsid w:val="008826F2"/>
    <w:rsid w:val="008845BA"/>
    <w:rsid w:val="00884AE3"/>
    <w:rsid w:val="00885203"/>
    <w:rsid w:val="008859CA"/>
    <w:rsid w:val="008861EE"/>
    <w:rsid w:val="0089036E"/>
    <w:rsid w:val="00890B59"/>
    <w:rsid w:val="008930D7"/>
    <w:rsid w:val="008934E3"/>
    <w:rsid w:val="008947A7"/>
    <w:rsid w:val="00897E80"/>
    <w:rsid w:val="008A04FA"/>
    <w:rsid w:val="008A0C6B"/>
    <w:rsid w:val="008A3188"/>
    <w:rsid w:val="008A3FDF"/>
    <w:rsid w:val="008A6418"/>
    <w:rsid w:val="008B05D8"/>
    <w:rsid w:val="008B0B3D"/>
    <w:rsid w:val="008B2B1A"/>
    <w:rsid w:val="008B3428"/>
    <w:rsid w:val="008B4A91"/>
    <w:rsid w:val="008B63D4"/>
    <w:rsid w:val="008B7785"/>
    <w:rsid w:val="008B79F2"/>
    <w:rsid w:val="008C0809"/>
    <w:rsid w:val="008C0E65"/>
    <w:rsid w:val="008C132C"/>
    <w:rsid w:val="008C2D72"/>
    <w:rsid w:val="008C3FD0"/>
    <w:rsid w:val="008C6398"/>
    <w:rsid w:val="008C67CC"/>
    <w:rsid w:val="008D27A5"/>
    <w:rsid w:val="008D2AAB"/>
    <w:rsid w:val="008D309C"/>
    <w:rsid w:val="008D58F9"/>
    <w:rsid w:val="008D7427"/>
    <w:rsid w:val="008E3338"/>
    <w:rsid w:val="008E47BE"/>
    <w:rsid w:val="008F09DF"/>
    <w:rsid w:val="008F2E65"/>
    <w:rsid w:val="008F3053"/>
    <w:rsid w:val="008F3136"/>
    <w:rsid w:val="008F40DF"/>
    <w:rsid w:val="008F5E16"/>
    <w:rsid w:val="008F5EFC"/>
    <w:rsid w:val="00901670"/>
    <w:rsid w:val="00901CCA"/>
    <w:rsid w:val="00902212"/>
    <w:rsid w:val="00903E0A"/>
    <w:rsid w:val="00904721"/>
    <w:rsid w:val="00907780"/>
    <w:rsid w:val="00907EDD"/>
    <w:rsid w:val="009107AD"/>
    <w:rsid w:val="00912EFB"/>
    <w:rsid w:val="00914623"/>
    <w:rsid w:val="00915568"/>
    <w:rsid w:val="00916204"/>
    <w:rsid w:val="00917E0C"/>
    <w:rsid w:val="00920711"/>
    <w:rsid w:val="00921020"/>
    <w:rsid w:val="00921A1E"/>
    <w:rsid w:val="00921B09"/>
    <w:rsid w:val="00924EA9"/>
    <w:rsid w:val="00925CE1"/>
    <w:rsid w:val="00925F5C"/>
    <w:rsid w:val="00926E65"/>
    <w:rsid w:val="009271C3"/>
    <w:rsid w:val="00930897"/>
    <w:rsid w:val="009320D2"/>
    <w:rsid w:val="009329FB"/>
    <w:rsid w:val="00932C77"/>
    <w:rsid w:val="0093417F"/>
    <w:rsid w:val="00934AC2"/>
    <w:rsid w:val="009375BB"/>
    <w:rsid w:val="00937EB8"/>
    <w:rsid w:val="009418E9"/>
    <w:rsid w:val="00942EA8"/>
    <w:rsid w:val="00946044"/>
    <w:rsid w:val="0094653B"/>
    <w:rsid w:val="009465AB"/>
    <w:rsid w:val="00946DEE"/>
    <w:rsid w:val="00950FF1"/>
    <w:rsid w:val="009532D5"/>
    <w:rsid w:val="00953499"/>
    <w:rsid w:val="00954A16"/>
    <w:rsid w:val="00955A0D"/>
    <w:rsid w:val="0095696D"/>
    <w:rsid w:val="00960F2D"/>
    <w:rsid w:val="00964691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843"/>
    <w:rsid w:val="009A39F5"/>
    <w:rsid w:val="009A4588"/>
    <w:rsid w:val="009A5EA5"/>
    <w:rsid w:val="009A6C4C"/>
    <w:rsid w:val="009B00C2"/>
    <w:rsid w:val="009B26AB"/>
    <w:rsid w:val="009B3476"/>
    <w:rsid w:val="009B39BC"/>
    <w:rsid w:val="009B5069"/>
    <w:rsid w:val="009B69AD"/>
    <w:rsid w:val="009B7806"/>
    <w:rsid w:val="009B7B29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080A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27C1"/>
    <w:rsid w:val="009F4B4A"/>
    <w:rsid w:val="009F4EB0"/>
    <w:rsid w:val="009F4F2B"/>
    <w:rsid w:val="009F513E"/>
    <w:rsid w:val="009F5802"/>
    <w:rsid w:val="009F63C1"/>
    <w:rsid w:val="009F64AE"/>
    <w:rsid w:val="009F78DB"/>
    <w:rsid w:val="00A0042D"/>
    <w:rsid w:val="00A0053A"/>
    <w:rsid w:val="00A00C33"/>
    <w:rsid w:val="00A01103"/>
    <w:rsid w:val="00A012C0"/>
    <w:rsid w:val="00A014BB"/>
    <w:rsid w:val="00A015AB"/>
    <w:rsid w:val="00A01E10"/>
    <w:rsid w:val="00A02588"/>
    <w:rsid w:val="00A02D81"/>
    <w:rsid w:val="00A03F54"/>
    <w:rsid w:val="00A03FF6"/>
    <w:rsid w:val="00A0432D"/>
    <w:rsid w:val="00A06A26"/>
    <w:rsid w:val="00A07689"/>
    <w:rsid w:val="00A07906"/>
    <w:rsid w:val="00A10908"/>
    <w:rsid w:val="00A12330"/>
    <w:rsid w:val="00A1259F"/>
    <w:rsid w:val="00A13C2A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44A7"/>
    <w:rsid w:val="00A35D66"/>
    <w:rsid w:val="00A41085"/>
    <w:rsid w:val="00A4148C"/>
    <w:rsid w:val="00A41F56"/>
    <w:rsid w:val="00A425FA"/>
    <w:rsid w:val="00A43960"/>
    <w:rsid w:val="00A46902"/>
    <w:rsid w:val="00A46E96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4689"/>
    <w:rsid w:val="00A800F4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6F"/>
    <w:rsid w:val="00AA67A3"/>
    <w:rsid w:val="00AA7E52"/>
    <w:rsid w:val="00AA7E73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06EC"/>
    <w:rsid w:val="00AD304B"/>
    <w:rsid w:val="00AD39C5"/>
    <w:rsid w:val="00AD4497"/>
    <w:rsid w:val="00AD4BE5"/>
    <w:rsid w:val="00AD7780"/>
    <w:rsid w:val="00AE2263"/>
    <w:rsid w:val="00AE248E"/>
    <w:rsid w:val="00AE2D12"/>
    <w:rsid w:val="00AE2F06"/>
    <w:rsid w:val="00AE4F1C"/>
    <w:rsid w:val="00AE50BE"/>
    <w:rsid w:val="00AF09BC"/>
    <w:rsid w:val="00AF1433"/>
    <w:rsid w:val="00AF48B4"/>
    <w:rsid w:val="00AF4923"/>
    <w:rsid w:val="00AF7C74"/>
    <w:rsid w:val="00B000AF"/>
    <w:rsid w:val="00B03B0D"/>
    <w:rsid w:val="00B04AA5"/>
    <w:rsid w:val="00B04E79"/>
    <w:rsid w:val="00B071B3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1C3F"/>
    <w:rsid w:val="00B21FB5"/>
    <w:rsid w:val="00B233BB"/>
    <w:rsid w:val="00B25612"/>
    <w:rsid w:val="00B26437"/>
    <w:rsid w:val="00B2678E"/>
    <w:rsid w:val="00B2717B"/>
    <w:rsid w:val="00B30647"/>
    <w:rsid w:val="00B31919"/>
    <w:rsid w:val="00B31CE2"/>
    <w:rsid w:val="00B31F0E"/>
    <w:rsid w:val="00B34F25"/>
    <w:rsid w:val="00B41D51"/>
    <w:rsid w:val="00B43672"/>
    <w:rsid w:val="00B473D8"/>
    <w:rsid w:val="00B5165A"/>
    <w:rsid w:val="00B524C1"/>
    <w:rsid w:val="00B52C8D"/>
    <w:rsid w:val="00B56421"/>
    <w:rsid w:val="00B564BF"/>
    <w:rsid w:val="00B6104E"/>
    <w:rsid w:val="00B610C7"/>
    <w:rsid w:val="00B62106"/>
    <w:rsid w:val="00B626A8"/>
    <w:rsid w:val="00B65695"/>
    <w:rsid w:val="00B65768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352C"/>
    <w:rsid w:val="00BB341F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08B"/>
    <w:rsid w:val="00BD473A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2163"/>
    <w:rsid w:val="00BF4949"/>
    <w:rsid w:val="00BF4D7C"/>
    <w:rsid w:val="00BF5085"/>
    <w:rsid w:val="00C013F4"/>
    <w:rsid w:val="00C040AB"/>
    <w:rsid w:val="00C0499B"/>
    <w:rsid w:val="00C05406"/>
    <w:rsid w:val="00C05CF0"/>
    <w:rsid w:val="00C10C2E"/>
    <w:rsid w:val="00C119AC"/>
    <w:rsid w:val="00C14EE6"/>
    <w:rsid w:val="00C151DA"/>
    <w:rsid w:val="00C152A1"/>
    <w:rsid w:val="00C1582B"/>
    <w:rsid w:val="00C16CCB"/>
    <w:rsid w:val="00C2142B"/>
    <w:rsid w:val="00C22987"/>
    <w:rsid w:val="00C23956"/>
    <w:rsid w:val="00C24508"/>
    <w:rsid w:val="00C248E6"/>
    <w:rsid w:val="00C2766F"/>
    <w:rsid w:val="00C306C1"/>
    <w:rsid w:val="00C3223B"/>
    <w:rsid w:val="00C333C6"/>
    <w:rsid w:val="00C3513F"/>
    <w:rsid w:val="00C35CC5"/>
    <w:rsid w:val="00C361C5"/>
    <w:rsid w:val="00C377D1"/>
    <w:rsid w:val="00C37BDA"/>
    <w:rsid w:val="00C37C84"/>
    <w:rsid w:val="00C42B41"/>
    <w:rsid w:val="00C42C0C"/>
    <w:rsid w:val="00C44B80"/>
    <w:rsid w:val="00C46166"/>
    <w:rsid w:val="00C4710D"/>
    <w:rsid w:val="00C50CAD"/>
    <w:rsid w:val="00C5530B"/>
    <w:rsid w:val="00C57933"/>
    <w:rsid w:val="00C60206"/>
    <w:rsid w:val="00C615D4"/>
    <w:rsid w:val="00C61899"/>
    <w:rsid w:val="00C61B5D"/>
    <w:rsid w:val="00C61C0E"/>
    <w:rsid w:val="00C61C64"/>
    <w:rsid w:val="00C61CDA"/>
    <w:rsid w:val="00C6352E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43BB"/>
    <w:rsid w:val="00C95150"/>
    <w:rsid w:val="00C95A73"/>
    <w:rsid w:val="00C96C4D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171E"/>
    <w:rsid w:val="00CB3627"/>
    <w:rsid w:val="00CB38B5"/>
    <w:rsid w:val="00CB3A23"/>
    <w:rsid w:val="00CB3EA4"/>
    <w:rsid w:val="00CB4B4B"/>
    <w:rsid w:val="00CB4B73"/>
    <w:rsid w:val="00CB74CB"/>
    <w:rsid w:val="00CB7E04"/>
    <w:rsid w:val="00CC0ACC"/>
    <w:rsid w:val="00CC24B7"/>
    <w:rsid w:val="00CC7131"/>
    <w:rsid w:val="00CC7B9E"/>
    <w:rsid w:val="00CD02B5"/>
    <w:rsid w:val="00CD03F7"/>
    <w:rsid w:val="00CD06CA"/>
    <w:rsid w:val="00CD076A"/>
    <w:rsid w:val="00CD180C"/>
    <w:rsid w:val="00CD2228"/>
    <w:rsid w:val="00CD37DA"/>
    <w:rsid w:val="00CD403D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5954"/>
    <w:rsid w:val="00CF71E0"/>
    <w:rsid w:val="00D001B1"/>
    <w:rsid w:val="00D03176"/>
    <w:rsid w:val="00D04B42"/>
    <w:rsid w:val="00D05861"/>
    <w:rsid w:val="00D060A8"/>
    <w:rsid w:val="00D06605"/>
    <w:rsid w:val="00D0720F"/>
    <w:rsid w:val="00D074E2"/>
    <w:rsid w:val="00D11B0B"/>
    <w:rsid w:val="00D11BD9"/>
    <w:rsid w:val="00D12A3E"/>
    <w:rsid w:val="00D164A7"/>
    <w:rsid w:val="00D22160"/>
    <w:rsid w:val="00D22172"/>
    <w:rsid w:val="00D2301B"/>
    <w:rsid w:val="00D239EE"/>
    <w:rsid w:val="00D30534"/>
    <w:rsid w:val="00D30C94"/>
    <w:rsid w:val="00D32774"/>
    <w:rsid w:val="00D336CD"/>
    <w:rsid w:val="00D35728"/>
    <w:rsid w:val="00D359A7"/>
    <w:rsid w:val="00D36D58"/>
    <w:rsid w:val="00D37BCF"/>
    <w:rsid w:val="00D40F93"/>
    <w:rsid w:val="00D42277"/>
    <w:rsid w:val="00D43C59"/>
    <w:rsid w:val="00D44ADE"/>
    <w:rsid w:val="00D46331"/>
    <w:rsid w:val="00D50D65"/>
    <w:rsid w:val="00D512E0"/>
    <w:rsid w:val="00D519F3"/>
    <w:rsid w:val="00D51D2A"/>
    <w:rsid w:val="00D53B7C"/>
    <w:rsid w:val="00D546A2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67B87"/>
    <w:rsid w:val="00D67E2E"/>
    <w:rsid w:val="00D700B1"/>
    <w:rsid w:val="00D730FA"/>
    <w:rsid w:val="00D73A56"/>
    <w:rsid w:val="00D7620F"/>
    <w:rsid w:val="00D76631"/>
    <w:rsid w:val="00D768B7"/>
    <w:rsid w:val="00D77492"/>
    <w:rsid w:val="00D811E8"/>
    <w:rsid w:val="00D81A44"/>
    <w:rsid w:val="00D82BA1"/>
    <w:rsid w:val="00D83072"/>
    <w:rsid w:val="00D83ABC"/>
    <w:rsid w:val="00D84870"/>
    <w:rsid w:val="00D91B92"/>
    <w:rsid w:val="00D926B3"/>
    <w:rsid w:val="00D92F63"/>
    <w:rsid w:val="00D942F0"/>
    <w:rsid w:val="00D947B6"/>
    <w:rsid w:val="00D94A53"/>
    <w:rsid w:val="00D9504B"/>
    <w:rsid w:val="00D965C2"/>
    <w:rsid w:val="00D97E00"/>
    <w:rsid w:val="00DA00BC"/>
    <w:rsid w:val="00DA0E22"/>
    <w:rsid w:val="00DA1EFA"/>
    <w:rsid w:val="00DA25E7"/>
    <w:rsid w:val="00DA2A32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3EC6"/>
    <w:rsid w:val="00DC42E8"/>
    <w:rsid w:val="00DC445D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17F8"/>
    <w:rsid w:val="00DE34B2"/>
    <w:rsid w:val="00DE49DE"/>
    <w:rsid w:val="00DE618B"/>
    <w:rsid w:val="00DE6EC2"/>
    <w:rsid w:val="00DF0834"/>
    <w:rsid w:val="00DF0873"/>
    <w:rsid w:val="00DF2707"/>
    <w:rsid w:val="00DF4D90"/>
    <w:rsid w:val="00DF5C2B"/>
    <w:rsid w:val="00DF5EBD"/>
    <w:rsid w:val="00DF6BA8"/>
    <w:rsid w:val="00DF78EA"/>
    <w:rsid w:val="00DF7CA3"/>
    <w:rsid w:val="00DF7F0D"/>
    <w:rsid w:val="00E00D5A"/>
    <w:rsid w:val="00E01462"/>
    <w:rsid w:val="00E0171B"/>
    <w:rsid w:val="00E01A76"/>
    <w:rsid w:val="00E04B30"/>
    <w:rsid w:val="00E05FB7"/>
    <w:rsid w:val="00E066E6"/>
    <w:rsid w:val="00E06807"/>
    <w:rsid w:val="00E06C5E"/>
    <w:rsid w:val="00E0752B"/>
    <w:rsid w:val="00E1228E"/>
    <w:rsid w:val="00E1334F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0D1C"/>
    <w:rsid w:val="00E51446"/>
    <w:rsid w:val="00E51970"/>
    <w:rsid w:val="00E529C8"/>
    <w:rsid w:val="00E55DA0"/>
    <w:rsid w:val="00E56033"/>
    <w:rsid w:val="00E61159"/>
    <w:rsid w:val="00E625DA"/>
    <w:rsid w:val="00E634DC"/>
    <w:rsid w:val="00E6388E"/>
    <w:rsid w:val="00E667F3"/>
    <w:rsid w:val="00E67794"/>
    <w:rsid w:val="00E70CC6"/>
    <w:rsid w:val="00E71254"/>
    <w:rsid w:val="00E7281B"/>
    <w:rsid w:val="00E73336"/>
    <w:rsid w:val="00E73CCD"/>
    <w:rsid w:val="00E74F4B"/>
    <w:rsid w:val="00E76453"/>
    <w:rsid w:val="00E77353"/>
    <w:rsid w:val="00E775AE"/>
    <w:rsid w:val="00E8272C"/>
    <w:rsid w:val="00E827C7"/>
    <w:rsid w:val="00E82F5F"/>
    <w:rsid w:val="00E85DBD"/>
    <w:rsid w:val="00E87A99"/>
    <w:rsid w:val="00E90702"/>
    <w:rsid w:val="00E92032"/>
    <w:rsid w:val="00E9241E"/>
    <w:rsid w:val="00E93376"/>
    <w:rsid w:val="00E93D63"/>
    <w:rsid w:val="00E93DEF"/>
    <w:rsid w:val="00E947B1"/>
    <w:rsid w:val="00E96852"/>
    <w:rsid w:val="00EA16AC"/>
    <w:rsid w:val="00EA3817"/>
    <w:rsid w:val="00EA385A"/>
    <w:rsid w:val="00EA3931"/>
    <w:rsid w:val="00EA658E"/>
    <w:rsid w:val="00EA7A88"/>
    <w:rsid w:val="00EB0082"/>
    <w:rsid w:val="00EB12FE"/>
    <w:rsid w:val="00EB27F2"/>
    <w:rsid w:val="00EB3928"/>
    <w:rsid w:val="00EB4294"/>
    <w:rsid w:val="00EB4B51"/>
    <w:rsid w:val="00EB5373"/>
    <w:rsid w:val="00EB6BD3"/>
    <w:rsid w:val="00EC02A2"/>
    <w:rsid w:val="00EC27FB"/>
    <w:rsid w:val="00EC379B"/>
    <w:rsid w:val="00EC37DF"/>
    <w:rsid w:val="00EC3A99"/>
    <w:rsid w:val="00EC41B1"/>
    <w:rsid w:val="00ED0665"/>
    <w:rsid w:val="00ED12C0"/>
    <w:rsid w:val="00ED19F0"/>
    <w:rsid w:val="00ED26D1"/>
    <w:rsid w:val="00ED2B50"/>
    <w:rsid w:val="00ED3A32"/>
    <w:rsid w:val="00ED3BDE"/>
    <w:rsid w:val="00ED68FB"/>
    <w:rsid w:val="00ED783A"/>
    <w:rsid w:val="00EE2E34"/>
    <w:rsid w:val="00EE2E91"/>
    <w:rsid w:val="00EE3226"/>
    <w:rsid w:val="00EE3370"/>
    <w:rsid w:val="00EE43A2"/>
    <w:rsid w:val="00EE46B7"/>
    <w:rsid w:val="00EE5A49"/>
    <w:rsid w:val="00EE60AF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0EFC"/>
    <w:rsid w:val="00F11E04"/>
    <w:rsid w:val="00F12B24"/>
    <w:rsid w:val="00F12BC7"/>
    <w:rsid w:val="00F15223"/>
    <w:rsid w:val="00F164B4"/>
    <w:rsid w:val="00F16B13"/>
    <w:rsid w:val="00F16C25"/>
    <w:rsid w:val="00F176E4"/>
    <w:rsid w:val="00F20E5F"/>
    <w:rsid w:val="00F24415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0AF"/>
    <w:rsid w:val="00F44349"/>
    <w:rsid w:val="00F4569E"/>
    <w:rsid w:val="00F45AFC"/>
    <w:rsid w:val="00F462F4"/>
    <w:rsid w:val="00F50130"/>
    <w:rsid w:val="00F50C5F"/>
    <w:rsid w:val="00F512D9"/>
    <w:rsid w:val="00F52402"/>
    <w:rsid w:val="00F531BB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151E"/>
    <w:rsid w:val="00F82811"/>
    <w:rsid w:val="00F84153"/>
    <w:rsid w:val="00F85661"/>
    <w:rsid w:val="00F95549"/>
    <w:rsid w:val="00F96602"/>
    <w:rsid w:val="00F96CF9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E77FF"/>
    <w:rsid w:val="00FF0A28"/>
    <w:rsid w:val="00FF0B8B"/>
    <w:rsid w:val="00FF0E93"/>
    <w:rsid w:val="00FF10C6"/>
    <w:rsid w:val="00FF13C3"/>
    <w:rsid w:val="00FF2025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B20B92-3C44-44C7-8E8F-9B688E9B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5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939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939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939F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3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39FB"/>
    <w:rPr>
      <w:b/>
      <w:bCs/>
    </w:rPr>
  </w:style>
  <w:style w:type="paragraph" w:styleId="Revision">
    <w:name w:val="Revision"/>
    <w:hidden/>
    <w:uiPriority w:val="99"/>
    <w:semiHidden/>
    <w:rsid w:val="00B41D51"/>
    <w:rPr>
      <w:sz w:val="24"/>
      <w:szCs w:val="24"/>
    </w:rPr>
  </w:style>
  <w:style w:type="character" w:styleId="Hyperlink">
    <w:name w:val="Hyperlink"/>
    <w:basedOn w:val="DefaultParagraphFont"/>
    <w:unhideWhenUsed/>
    <w:rsid w:val="00A46E9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6E9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5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1716</Words>
  <Characters>9186</Characters>
  <Application>Microsoft Office Word</Application>
  <DocSecurity>4</DocSecurity>
  <Lines>209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HB02639 (Committee Report (Substituted))</vt:lpstr>
    </vt:vector>
  </TitlesOfParts>
  <Company>State of Texas</Company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22070</dc:subject>
  <dc:creator>State of Texas</dc:creator>
  <dc:description>HB 2639 by Clardy-(H)Higher Education (Substitute Document Number: 88R 19879)</dc:description>
  <cp:lastModifiedBy>Damian Duarte</cp:lastModifiedBy>
  <cp:revision>2</cp:revision>
  <cp:lastPrinted>2003-11-26T17:21:00Z</cp:lastPrinted>
  <dcterms:created xsi:type="dcterms:W3CDTF">2023-04-11T13:42:00Z</dcterms:created>
  <dcterms:modified xsi:type="dcterms:W3CDTF">2023-04-11T13:42:00Z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23.95.375</vt:lpwstr>
  </property>
</Properties>
</file>