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14C1C" w14:paraId="5E6B10F8" w14:textId="77777777" w:rsidTr="00345119">
        <w:tc>
          <w:tcPr>
            <w:tcW w:w="9576" w:type="dxa"/>
            <w:noWrap/>
          </w:tcPr>
          <w:p w14:paraId="419A7AF0" w14:textId="77777777" w:rsidR="008423E4" w:rsidRPr="0022177D" w:rsidRDefault="00E95F03" w:rsidP="00FC2702">
            <w:pPr>
              <w:pStyle w:val="Heading1"/>
            </w:pPr>
            <w:r w:rsidRPr="00631897">
              <w:t>BILL ANALYSIS</w:t>
            </w:r>
          </w:p>
        </w:tc>
      </w:tr>
    </w:tbl>
    <w:p w14:paraId="4C76D462" w14:textId="77777777" w:rsidR="008423E4" w:rsidRPr="0022177D" w:rsidRDefault="008423E4" w:rsidP="00FC2702">
      <w:pPr>
        <w:jc w:val="center"/>
      </w:pPr>
    </w:p>
    <w:p w14:paraId="05BE88B9" w14:textId="77777777" w:rsidR="008423E4" w:rsidRPr="00B31F0E" w:rsidRDefault="008423E4" w:rsidP="00FC2702"/>
    <w:p w14:paraId="798FE1DE" w14:textId="77777777" w:rsidR="008423E4" w:rsidRPr="00742794" w:rsidRDefault="008423E4" w:rsidP="00FC270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4C1C" w14:paraId="61C18A2E" w14:textId="77777777" w:rsidTr="00345119">
        <w:tc>
          <w:tcPr>
            <w:tcW w:w="9576" w:type="dxa"/>
          </w:tcPr>
          <w:p w14:paraId="1FD8F87D" w14:textId="3CF1FBA3" w:rsidR="008423E4" w:rsidRPr="00861995" w:rsidRDefault="00E95F03" w:rsidP="00FC2702">
            <w:pPr>
              <w:jc w:val="right"/>
            </w:pPr>
            <w:r>
              <w:t>H.B. 2642</w:t>
            </w:r>
          </w:p>
        </w:tc>
      </w:tr>
      <w:tr w:rsidR="00B14C1C" w14:paraId="7DD43F4A" w14:textId="77777777" w:rsidTr="00345119">
        <w:tc>
          <w:tcPr>
            <w:tcW w:w="9576" w:type="dxa"/>
          </w:tcPr>
          <w:p w14:paraId="58DEFE72" w14:textId="231CE585" w:rsidR="008423E4" w:rsidRPr="00861995" w:rsidRDefault="00E95F03" w:rsidP="00FC2702">
            <w:pPr>
              <w:jc w:val="right"/>
            </w:pPr>
            <w:r>
              <w:t xml:space="preserve">By: </w:t>
            </w:r>
            <w:r w:rsidR="00EF5FBD">
              <w:t>Howard</w:t>
            </w:r>
          </w:p>
        </w:tc>
      </w:tr>
      <w:tr w:rsidR="00B14C1C" w14:paraId="061DC743" w14:textId="77777777" w:rsidTr="00345119">
        <w:tc>
          <w:tcPr>
            <w:tcW w:w="9576" w:type="dxa"/>
          </w:tcPr>
          <w:p w14:paraId="528CFEF4" w14:textId="38BE05BD" w:rsidR="008423E4" w:rsidRPr="00861995" w:rsidRDefault="00E95F03" w:rsidP="00FC2702">
            <w:pPr>
              <w:jc w:val="right"/>
            </w:pPr>
            <w:r>
              <w:t>Higher Education</w:t>
            </w:r>
          </w:p>
        </w:tc>
      </w:tr>
      <w:tr w:rsidR="00B14C1C" w14:paraId="14D1AB36" w14:textId="77777777" w:rsidTr="00345119">
        <w:tc>
          <w:tcPr>
            <w:tcW w:w="9576" w:type="dxa"/>
          </w:tcPr>
          <w:p w14:paraId="3F72090A" w14:textId="7D2FBE5C" w:rsidR="008423E4" w:rsidRDefault="00E95F03" w:rsidP="00FC2702">
            <w:pPr>
              <w:jc w:val="right"/>
            </w:pPr>
            <w:r>
              <w:t>Committee Report (Unamended)</w:t>
            </w:r>
          </w:p>
        </w:tc>
      </w:tr>
    </w:tbl>
    <w:p w14:paraId="4AA203A5" w14:textId="77777777" w:rsidR="008423E4" w:rsidRDefault="008423E4" w:rsidP="00FC2702">
      <w:pPr>
        <w:tabs>
          <w:tab w:val="right" w:pos="9360"/>
        </w:tabs>
      </w:pPr>
    </w:p>
    <w:p w14:paraId="4472A04A" w14:textId="77777777" w:rsidR="008423E4" w:rsidRDefault="008423E4" w:rsidP="00FC2702"/>
    <w:p w14:paraId="7C7C1E6E" w14:textId="77777777" w:rsidR="008423E4" w:rsidRDefault="008423E4" w:rsidP="00FC270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14C1C" w14:paraId="53A3705B" w14:textId="77777777" w:rsidTr="00345119">
        <w:tc>
          <w:tcPr>
            <w:tcW w:w="9576" w:type="dxa"/>
          </w:tcPr>
          <w:p w14:paraId="40A86336" w14:textId="77777777" w:rsidR="008423E4" w:rsidRPr="00A8133F" w:rsidRDefault="00E95F03" w:rsidP="00FC270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F2F532" w14:textId="77777777" w:rsidR="008423E4" w:rsidRDefault="008423E4" w:rsidP="00FC2702"/>
          <w:p w14:paraId="7F57BAF3" w14:textId="4E44BDF7" w:rsidR="00AE3BDE" w:rsidRDefault="00E95F03" w:rsidP="00FC2702">
            <w:pPr>
              <w:pStyle w:val="Header"/>
              <w:jc w:val="both"/>
            </w:pPr>
            <w:r>
              <w:t>According to the March of Dimes, approximately 25</w:t>
            </w:r>
            <w:r w:rsidR="000436C7">
              <w:t xml:space="preserve"> percent</w:t>
            </w:r>
            <w:r>
              <w:t xml:space="preserve"> of women of childbearing age are</w:t>
            </w:r>
          </w:p>
          <w:p w14:paraId="01B54C32" w14:textId="4E3BE5B1" w:rsidR="008423E4" w:rsidRDefault="00E95F03" w:rsidP="00FC2702">
            <w:pPr>
              <w:pStyle w:val="Header"/>
              <w:jc w:val="both"/>
            </w:pPr>
            <w:r>
              <w:t xml:space="preserve">uninsured in Texas. According to the </w:t>
            </w:r>
            <w:r w:rsidR="00115B28">
              <w:t>c</w:t>
            </w:r>
            <w:r>
              <w:t xml:space="preserve">omptroller of </w:t>
            </w:r>
            <w:r w:rsidR="00115B28">
              <w:t>p</w:t>
            </w:r>
            <w:r>
              <w:t xml:space="preserve">ublic </w:t>
            </w:r>
            <w:r w:rsidR="00115B28">
              <w:t>a</w:t>
            </w:r>
            <w:r>
              <w:t>ccounts, Texas continues to have</w:t>
            </w:r>
            <w:r w:rsidR="00322796">
              <w:t xml:space="preserve"> </w:t>
            </w:r>
            <w:r>
              <w:t>the highest rates of uninsured people in the country</w:t>
            </w:r>
            <w:r w:rsidR="00322796">
              <w:t xml:space="preserve"> with n</w:t>
            </w:r>
            <w:r>
              <w:t xml:space="preserve">early </w:t>
            </w:r>
            <w:r w:rsidR="00115B28">
              <w:t xml:space="preserve">a quarter of </w:t>
            </w:r>
            <w:r>
              <w:t>working</w:t>
            </w:r>
            <w:r w:rsidR="00BC681F">
              <w:t>-</w:t>
            </w:r>
            <w:r>
              <w:t>age Texans 19</w:t>
            </w:r>
            <w:r w:rsidR="000436C7">
              <w:t xml:space="preserve"> to </w:t>
            </w:r>
            <w:r>
              <w:t xml:space="preserve">64 </w:t>
            </w:r>
            <w:r w:rsidR="00322796">
              <w:t>being</w:t>
            </w:r>
            <w:r w:rsidR="00115B28">
              <w:t xml:space="preserve"> </w:t>
            </w:r>
            <w:r>
              <w:t xml:space="preserve">uninsured, making up the biggest share of </w:t>
            </w:r>
            <w:r w:rsidR="00322796">
              <w:t xml:space="preserve">the state's </w:t>
            </w:r>
            <w:r>
              <w:t>uninsured, with younger adults at the highest</w:t>
            </w:r>
            <w:r w:rsidR="00115B28">
              <w:t xml:space="preserve"> </w:t>
            </w:r>
            <w:r>
              <w:t>likelihood of being uninsured. Furthermore, Texas has one of the highest rates of uninsured</w:t>
            </w:r>
            <w:r w:rsidR="00115B28">
              <w:t xml:space="preserve"> </w:t>
            </w:r>
            <w:r>
              <w:t>kids in the country.</w:t>
            </w:r>
            <w:r w:rsidR="000436C7">
              <w:t xml:space="preserve"> </w:t>
            </w:r>
            <w:r>
              <w:t>It is reasonable to assume that many will enter adulthood without access to health insurance.</w:t>
            </w:r>
            <w:r w:rsidR="000436C7">
              <w:t xml:space="preserve"> I</w:t>
            </w:r>
            <w:r>
              <w:t xml:space="preserve">n 2015, the </w:t>
            </w:r>
            <w:r w:rsidR="00115B28">
              <w:t>l</w:t>
            </w:r>
            <w:r w:rsidR="000436C7">
              <w:t>e</w:t>
            </w:r>
            <w:r>
              <w:t>gislature established the Healthy Texas Women program</w:t>
            </w:r>
            <w:r w:rsidR="00115B28">
              <w:t>,</w:t>
            </w:r>
            <w:r>
              <w:t xml:space="preserve"> which is a</w:t>
            </w:r>
            <w:r w:rsidR="000436C7">
              <w:t xml:space="preserve"> </w:t>
            </w:r>
            <w:r>
              <w:t>health</w:t>
            </w:r>
            <w:r w:rsidR="00BC681F">
              <w:t xml:space="preserve"> </w:t>
            </w:r>
            <w:r>
              <w:t>care program with limited services related to women</w:t>
            </w:r>
            <w:r w:rsidR="00BC681F">
              <w:t>'</w:t>
            </w:r>
            <w:r>
              <w:t>s health. Though it may not count</w:t>
            </w:r>
            <w:r w:rsidR="000436C7">
              <w:t xml:space="preserve"> </w:t>
            </w:r>
            <w:r>
              <w:t xml:space="preserve">as full health insurance, it does allow for low-income women who do not </w:t>
            </w:r>
            <w:r>
              <w:t>qualify for Medicaid</w:t>
            </w:r>
            <w:r w:rsidR="000436C7">
              <w:t xml:space="preserve"> </w:t>
            </w:r>
            <w:r>
              <w:t>and cannot afford health insurance on their own to access limited reproductive health</w:t>
            </w:r>
            <w:r w:rsidR="00BC681F">
              <w:t xml:space="preserve"> </w:t>
            </w:r>
            <w:r>
              <w:t>care</w:t>
            </w:r>
            <w:r w:rsidR="000436C7">
              <w:t xml:space="preserve"> </w:t>
            </w:r>
            <w:r>
              <w:t>services. However, a current barrier to entry for this population is a lack of awareness about</w:t>
            </w:r>
            <w:r w:rsidR="000436C7">
              <w:t xml:space="preserve"> </w:t>
            </w:r>
            <w:r>
              <w:t>the program. H</w:t>
            </w:r>
            <w:r w:rsidR="003C5167">
              <w:t>.</w:t>
            </w:r>
            <w:r>
              <w:t>B</w:t>
            </w:r>
            <w:r w:rsidR="003C5167">
              <w:t>.</w:t>
            </w:r>
            <w:r>
              <w:t xml:space="preserve"> 2642 seeks to increase access t</w:t>
            </w:r>
            <w:r>
              <w:t>o women</w:t>
            </w:r>
            <w:r w:rsidR="00BC681F">
              <w:t>'</w:t>
            </w:r>
            <w:r>
              <w:t xml:space="preserve">s health services for Texans enrolled in institutions of higher education by requiring all </w:t>
            </w:r>
            <w:r w:rsidR="00322796">
              <w:t xml:space="preserve">these </w:t>
            </w:r>
            <w:r>
              <w:t>institutions to send an email notification with information about how to enroll in the state</w:t>
            </w:r>
            <w:r w:rsidR="00BC681F">
              <w:t>'</w:t>
            </w:r>
            <w:r>
              <w:t>s women</w:t>
            </w:r>
            <w:r w:rsidR="00BC681F">
              <w:t>'</w:t>
            </w:r>
            <w:r>
              <w:t>s health programs.</w:t>
            </w:r>
          </w:p>
          <w:p w14:paraId="2338C327" w14:textId="77777777" w:rsidR="008423E4" w:rsidRPr="00E26B13" w:rsidRDefault="008423E4" w:rsidP="00FC2702">
            <w:pPr>
              <w:rPr>
                <w:b/>
              </w:rPr>
            </w:pPr>
          </w:p>
        </w:tc>
      </w:tr>
      <w:tr w:rsidR="00B14C1C" w14:paraId="6D318DEB" w14:textId="77777777" w:rsidTr="00345119">
        <w:tc>
          <w:tcPr>
            <w:tcW w:w="9576" w:type="dxa"/>
          </w:tcPr>
          <w:p w14:paraId="401A44F3" w14:textId="77777777" w:rsidR="0017725B" w:rsidRDefault="00E95F03" w:rsidP="00FC27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D3FBB6" w14:textId="77777777" w:rsidR="0017725B" w:rsidRDefault="0017725B" w:rsidP="00FC2702">
            <w:pPr>
              <w:rPr>
                <w:b/>
                <w:u w:val="single"/>
              </w:rPr>
            </w:pPr>
          </w:p>
          <w:p w14:paraId="6EC12361" w14:textId="0277319C" w:rsidR="007D145F" w:rsidRPr="007D145F" w:rsidRDefault="00E95F03" w:rsidP="00FC2702">
            <w:pPr>
              <w:jc w:val="both"/>
            </w:pPr>
            <w:r>
              <w:t>It i</w:t>
            </w:r>
            <w:r>
              <w:t>s the committee's opinion that this bill does not expressly create a criminal offense, increase the punishment for an existing criminal offense or category of offenses, or change the eligibility of a person for community supervision, parole, or mandatory s</w:t>
            </w:r>
            <w:r>
              <w:t>upervision.</w:t>
            </w:r>
          </w:p>
          <w:p w14:paraId="76065D2D" w14:textId="77777777" w:rsidR="0017725B" w:rsidRPr="0017725B" w:rsidRDefault="0017725B" w:rsidP="00FC2702">
            <w:pPr>
              <w:rPr>
                <w:b/>
                <w:u w:val="single"/>
              </w:rPr>
            </w:pPr>
          </w:p>
        </w:tc>
      </w:tr>
      <w:tr w:rsidR="00B14C1C" w14:paraId="4FD885CA" w14:textId="77777777" w:rsidTr="00345119">
        <w:tc>
          <w:tcPr>
            <w:tcW w:w="9576" w:type="dxa"/>
          </w:tcPr>
          <w:p w14:paraId="211E52E7" w14:textId="77777777" w:rsidR="008423E4" w:rsidRPr="00A8133F" w:rsidRDefault="00E95F03" w:rsidP="00FC270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5F3C5D" w14:textId="77777777" w:rsidR="008423E4" w:rsidRDefault="008423E4" w:rsidP="00FC2702"/>
          <w:p w14:paraId="573D3E8D" w14:textId="63959763" w:rsidR="007D145F" w:rsidRDefault="00E95F03" w:rsidP="00FC27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51BA011" w14:textId="77777777" w:rsidR="008423E4" w:rsidRPr="00E21FDC" w:rsidRDefault="008423E4" w:rsidP="00FC2702">
            <w:pPr>
              <w:rPr>
                <w:b/>
              </w:rPr>
            </w:pPr>
          </w:p>
        </w:tc>
      </w:tr>
      <w:tr w:rsidR="00B14C1C" w14:paraId="0CC02DFE" w14:textId="77777777" w:rsidTr="00345119">
        <w:tc>
          <w:tcPr>
            <w:tcW w:w="9576" w:type="dxa"/>
          </w:tcPr>
          <w:p w14:paraId="40917983" w14:textId="77777777" w:rsidR="008423E4" w:rsidRPr="00A8133F" w:rsidRDefault="00E95F03" w:rsidP="00FC270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EF7C58" w14:textId="77777777" w:rsidR="008423E4" w:rsidRDefault="008423E4" w:rsidP="00FC2702"/>
          <w:p w14:paraId="713CAD35" w14:textId="5E4FF0BA" w:rsidR="00014967" w:rsidRDefault="00E95F03" w:rsidP="00FC27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2642 amends the Education Code to require a public </w:t>
            </w:r>
            <w:r w:rsidRPr="007D145F">
              <w:t>institution of higher education</w:t>
            </w:r>
            <w:r w:rsidR="006A14B2">
              <w:t xml:space="preserve">, during </w:t>
            </w:r>
            <w:r w:rsidR="006A14B2" w:rsidRPr="004E1DA6">
              <w:t>the fall semester of each academic year</w:t>
            </w:r>
            <w:r w:rsidR="006A14B2">
              <w:t>,</w:t>
            </w:r>
            <w:r>
              <w:t xml:space="preserve"> to distribute by email </w:t>
            </w:r>
            <w:r w:rsidRPr="007D145F">
              <w:t>to each student enrolled</w:t>
            </w:r>
            <w:r w:rsidR="006A14B2">
              <w:t xml:space="preserve"> at the institution</w:t>
            </w:r>
            <w:r w:rsidRPr="007D145F">
              <w:t xml:space="preserve"> information regarding women's health programs admini</w:t>
            </w:r>
            <w:r w:rsidRPr="007D145F">
              <w:t>stered by the Health and Human Services Commission</w:t>
            </w:r>
            <w:r w:rsidR="004E1DA6">
              <w:t xml:space="preserve"> (HHSC)</w:t>
            </w:r>
            <w:r w:rsidR="00BC1E61">
              <w:t>,</w:t>
            </w:r>
            <w:r w:rsidR="00304CC4">
              <w:t xml:space="preserve"> including </w:t>
            </w:r>
            <w:r w:rsidR="00BC1E61">
              <w:t>information about</w:t>
            </w:r>
            <w:r>
              <w:t xml:space="preserve"> the following:</w:t>
            </w:r>
          </w:p>
          <w:p w14:paraId="17598A33" w14:textId="180E3F3D" w:rsidR="00014967" w:rsidRDefault="00E95F03" w:rsidP="00FC270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eligibility requirements for those programs; and</w:t>
            </w:r>
          </w:p>
          <w:p w14:paraId="3BF3ACA6" w14:textId="4D93E8D4" w:rsidR="007D145F" w:rsidRDefault="00E95F03" w:rsidP="00FC270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enrollment procedures for those programs, including a link to the HHSC website that hosts that </w:t>
            </w:r>
            <w:r>
              <w:t>enrollment information.</w:t>
            </w:r>
          </w:p>
          <w:p w14:paraId="5F3DA944" w14:textId="5B9375D6" w:rsidR="007D145F" w:rsidRDefault="007D145F" w:rsidP="00FC27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1C6E4E" w14:textId="7FBF0665" w:rsidR="007D145F" w:rsidRPr="009C36CD" w:rsidRDefault="00E95F03" w:rsidP="00FC27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2642 </w:t>
            </w:r>
            <w:r w:rsidRPr="007D145F">
              <w:t>applies beginning with the 2023 fall semester.</w:t>
            </w:r>
          </w:p>
          <w:p w14:paraId="7CA2CDDA" w14:textId="77777777" w:rsidR="008423E4" w:rsidRPr="00835628" w:rsidRDefault="008423E4" w:rsidP="00FC2702">
            <w:pPr>
              <w:rPr>
                <w:b/>
              </w:rPr>
            </w:pPr>
          </w:p>
        </w:tc>
      </w:tr>
      <w:tr w:rsidR="00B14C1C" w14:paraId="2311BAB3" w14:textId="77777777" w:rsidTr="00345119">
        <w:tc>
          <w:tcPr>
            <w:tcW w:w="9576" w:type="dxa"/>
          </w:tcPr>
          <w:p w14:paraId="43B11E3F" w14:textId="77777777" w:rsidR="008423E4" w:rsidRPr="00A8133F" w:rsidRDefault="00E95F03" w:rsidP="00FC270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E240D5" w14:textId="77777777" w:rsidR="008423E4" w:rsidRDefault="008423E4" w:rsidP="00FC2702"/>
          <w:p w14:paraId="7B4F0F7A" w14:textId="1B83C07B" w:rsidR="008423E4" w:rsidRPr="00233FDB" w:rsidRDefault="00E95F03" w:rsidP="00FC270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7A3436C5" w14:textId="77777777" w:rsidR="008423E4" w:rsidRPr="00BE0E75" w:rsidRDefault="008423E4" w:rsidP="00FC2702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4EB3" w14:textId="77777777" w:rsidR="00000000" w:rsidRDefault="00E95F03">
      <w:r>
        <w:separator/>
      </w:r>
    </w:p>
  </w:endnote>
  <w:endnote w:type="continuationSeparator" w:id="0">
    <w:p w14:paraId="479021AE" w14:textId="77777777" w:rsidR="00000000" w:rsidRDefault="00E9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F0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4C1C" w14:paraId="0F6264A3" w14:textId="77777777" w:rsidTr="009C1E9A">
      <w:trPr>
        <w:cantSplit/>
      </w:trPr>
      <w:tc>
        <w:tcPr>
          <w:tcW w:w="0" w:type="pct"/>
        </w:tcPr>
        <w:p w14:paraId="5281B4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F3A4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FE43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79B8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B25B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4C1C" w14:paraId="3B1B8A00" w14:textId="77777777" w:rsidTr="009C1E9A">
      <w:trPr>
        <w:cantSplit/>
      </w:trPr>
      <w:tc>
        <w:tcPr>
          <w:tcW w:w="0" w:type="pct"/>
        </w:tcPr>
        <w:p w14:paraId="4CBB8D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27688E" w14:textId="0AC9459C" w:rsidR="00EC379B" w:rsidRPr="009C1E9A" w:rsidRDefault="00E95F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25426-D</w:t>
          </w:r>
        </w:p>
      </w:tc>
      <w:tc>
        <w:tcPr>
          <w:tcW w:w="2453" w:type="pct"/>
        </w:tcPr>
        <w:p w14:paraId="4CE2FD48" w14:textId="6D4FA06F" w:rsidR="00EC379B" w:rsidRDefault="00E95F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C2702">
            <w:t>23.113.429</w:t>
          </w:r>
          <w:r>
            <w:fldChar w:fldCharType="end"/>
          </w:r>
        </w:p>
      </w:tc>
    </w:tr>
    <w:tr w:rsidR="00B14C1C" w14:paraId="15C04CD3" w14:textId="77777777" w:rsidTr="009C1E9A">
      <w:trPr>
        <w:cantSplit/>
      </w:trPr>
      <w:tc>
        <w:tcPr>
          <w:tcW w:w="0" w:type="pct"/>
        </w:tcPr>
        <w:p w14:paraId="2A89E97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CEF87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A1EAC7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CB5D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4C1C" w14:paraId="4D0584A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4FF71F" w14:textId="77777777" w:rsidR="00EC379B" w:rsidRDefault="00E95F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C82A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BF429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F3E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86C1" w14:textId="77777777" w:rsidR="00000000" w:rsidRDefault="00E95F03">
      <w:r>
        <w:separator/>
      </w:r>
    </w:p>
  </w:footnote>
  <w:footnote w:type="continuationSeparator" w:id="0">
    <w:p w14:paraId="53F1F499" w14:textId="77777777" w:rsidR="00000000" w:rsidRDefault="00E9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A57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014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025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23BB"/>
    <w:multiLevelType w:val="hybridMultilevel"/>
    <w:tmpl w:val="D1B82292"/>
    <w:lvl w:ilvl="0" w:tplc="42F4E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A5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EA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2C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AE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2E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1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A3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CE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4C9E"/>
    <w:multiLevelType w:val="hybridMultilevel"/>
    <w:tmpl w:val="065089A8"/>
    <w:lvl w:ilvl="0" w:tplc="8764A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23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81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C3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E0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8F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A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65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03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02FA8"/>
    <w:multiLevelType w:val="hybridMultilevel"/>
    <w:tmpl w:val="E3A01F54"/>
    <w:lvl w:ilvl="0" w:tplc="8406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A9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8E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C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0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65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0F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61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4C2B"/>
    <w:multiLevelType w:val="hybridMultilevel"/>
    <w:tmpl w:val="907A0110"/>
    <w:lvl w:ilvl="0" w:tplc="B96A9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8E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0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C9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EC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C9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C6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4C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48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5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967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6C7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74E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B28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2A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CC4"/>
    <w:rsid w:val="00313DFE"/>
    <w:rsid w:val="003143B2"/>
    <w:rsid w:val="00314821"/>
    <w:rsid w:val="0031483F"/>
    <w:rsid w:val="0031741B"/>
    <w:rsid w:val="00321337"/>
    <w:rsid w:val="00321F2F"/>
    <w:rsid w:val="00322796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167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F9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DA6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EA4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4B2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45F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348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BDE"/>
    <w:rsid w:val="00AE4F1C"/>
    <w:rsid w:val="00AE6CCD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4C1C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E61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81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CF6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F03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5FBD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70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3760ED-A957-430E-862E-7E32012E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D14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45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45F"/>
    <w:rPr>
      <w:b/>
      <w:bCs/>
    </w:rPr>
  </w:style>
  <w:style w:type="paragraph" w:styleId="Revision">
    <w:name w:val="Revision"/>
    <w:hidden/>
    <w:uiPriority w:val="99"/>
    <w:semiHidden/>
    <w:rsid w:val="006A1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2206</Characters>
  <Application>Microsoft Office Word</Application>
  <DocSecurity>4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HB02642 (Committee Report (Unamended))</vt:lpstr>
    </vt:vector>
  </TitlesOfParts>
  <Company>State of Texas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25426</dc:subject>
  <dc:creator>State of Texas</dc:creator>
  <dc:description>HB 2642 by Howard-(H)Higher Education</dc:description>
  <cp:lastModifiedBy>Matthew Lee</cp:lastModifiedBy>
  <cp:revision>2</cp:revision>
  <cp:lastPrinted>2003-11-26T17:21:00Z</cp:lastPrinted>
  <dcterms:created xsi:type="dcterms:W3CDTF">2023-04-25T14:15:00Z</dcterms:created>
  <dcterms:modified xsi:type="dcterms:W3CDTF">2023-04-25T14:15:00Z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23.113.429</vt:lpwstr>
  </property>
</Properties>
</file>