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92A21" w14:paraId="5BB5C882" w14:textId="77777777" w:rsidTr="00345119">
        <w:tc>
          <w:tcPr>
            <w:tcW w:w="9576" w:type="dxa"/>
            <w:noWrap/>
          </w:tcPr>
          <w:p w14:paraId="73C806B2" w14:textId="77777777" w:rsidR="008423E4" w:rsidRPr="0022177D" w:rsidRDefault="00D24D0C" w:rsidP="006D3468">
            <w:pPr>
              <w:pStyle w:val="Heading1"/>
            </w:pPr>
            <w:r w:rsidRPr="00631897">
              <w:t>BILL ANALYSIS</w:t>
            </w:r>
          </w:p>
        </w:tc>
      </w:tr>
    </w:tbl>
    <w:p w14:paraId="67DA0827" w14:textId="77777777" w:rsidR="008423E4" w:rsidRPr="0022177D" w:rsidRDefault="008423E4" w:rsidP="006D3468">
      <w:pPr>
        <w:jc w:val="center"/>
      </w:pPr>
    </w:p>
    <w:p w14:paraId="3277B3B5" w14:textId="77777777" w:rsidR="008423E4" w:rsidRPr="00B31F0E" w:rsidRDefault="008423E4" w:rsidP="006D3468"/>
    <w:p w14:paraId="3536040A" w14:textId="77777777" w:rsidR="008423E4" w:rsidRPr="00742794" w:rsidRDefault="008423E4" w:rsidP="006D346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92A21" w14:paraId="35BA4330" w14:textId="77777777" w:rsidTr="00345119">
        <w:tc>
          <w:tcPr>
            <w:tcW w:w="9576" w:type="dxa"/>
          </w:tcPr>
          <w:p w14:paraId="7445D2F0" w14:textId="777ADEAE" w:rsidR="008423E4" w:rsidRPr="00861995" w:rsidRDefault="00D24D0C" w:rsidP="006D3468">
            <w:pPr>
              <w:jc w:val="right"/>
            </w:pPr>
            <w:r>
              <w:t>C.S.H.B. 2644</w:t>
            </w:r>
          </w:p>
        </w:tc>
      </w:tr>
      <w:tr w:rsidR="00892A21" w14:paraId="1B9185A3" w14:textId="77777777" w:rsidTr="00345119">
        <w:tc>
          <w:tcPr>
            <w:tcW w:w="9576" w:type="dxa"/>
          </w:tcPr>
          <w:p w14:paraId="45B067F9" w14:textId="4C98F6F1" w:rsidR="008423E4" w:rsidRPr="00861995" w:rsidRDefault="00D24D0C" w:rsidP="006D3468">
            <w:pPr>
              <w:jc w:val="right"/>
            </w:pPr>
            <w:r>
              <w:t xml:space="preserve">By: </w:t>
            </w:r>
            <w:r w:rsidR="00A63BFD">
              <w:t>Craddick</w:t>
            </w:r>
          </w:p>
        </w:tc>
      </w:tr>
      <w:tr w:rsidR="00892A21" w14:paraId="4E936E66" w14:textId="77777777" w:rsidTr="00345119">
        <w:tc>
          <w:tcPr>
            <w:tcW w:w="9576" w:type="dxa"/>
          </w:tcPr>
          <w:p w14:paraId="38C09150" w14:textId="5C164934" w:rsidR="008423E4" w:rsidRPr="00861995" w:rsidRDefault="00D24D0C" w:rsidP="006D3468">
            <w:pPr>
              <w:jc w:val="right"/>
            </w:pPr>
            <w:r>
              <w:t>International Relations &amp; Economic Development</w:t>
            </w:r>
          </w:p>
        </w:tc>
      </w:tr>
      <w:tr w:rsidR="00892A21" w14:paraId="3B70F1A0" w14:textId="77777777" w:rsidTr="00345119">
        <w:tc>
          <w:tcPr>
            <w:tcW w:w="9576" w:type="dxa"/>
          </w:tcPr>
          <w:p w14:paraId="08FF0BB6" w14:textId="3640CF2C" w:rsidR="008423E4" w:rsidRDefault="00D24D0C" w:rsidP="006D3468">
            <w:pPr>
              <w:jc w:val="right"/>
            </w:pPr>
            <w:r>
              <w:t>Committee Report (Substituted)</w:t>
            </w:r>
          </w:p>
        </w:tc>
      </w:tr>
    </w:tbl>
    <w:p w14:paraId="76F25CEA" w14:textId="77777777" w:rsidR="008423E4" w:rsidRDefault="008423E4" w:rsidP="006D3468">
      <w:pPr>
        <w:tabs>
          <w:tab w:val="right" w:pos="9360"/>
        </w:tabs>
      </w:pPr>
    </w:p>
    <w:p w14:paraId="4AE37C63" w14:textId="77777777" w:rsidR="008423E4" w:rsidRDefault="008423E4" w:rsidP="006D3468"/>
    <w:p w14:paraId="1427B3B7" w14:textId="77777777" w:rsidR="008423E4" w:rsidRDefault="008423E4" w:rsidP="006D346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92A21" w14:paraId="1CEFE0D3" w14:textId="77777777" w:rsidTr="006D3468">
        <w:tc>
          <w:tcPr>
            <w:tcW w:w="9360" w:type="dxa"/>
          </w:tcPr>
          <w:p w14:paraId="52262D79" w14:textId="77777777" w:rsidR="008423E4" w:rsidRPr="00A8133F" w:rsidRDefault="00D24D0C" w:rsidP="006D346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DAB6B6D" w14:textId="77777777" w:rsidR="008423E4" w:rsidRDefault="008423E4" w:rsidP="006D3468"/>
          <w:p w14:paraId="544500B9" w14:textId="5E308D7B" w:rsidR="008423E4" w:rsidRDefault="00D24D0C" w:rsidP="006D34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71F00">
              <w:t>Pos</w:t>
            </w:r>
            <w:r w:rsidR="00841E28">
              <w:t>t-COVID</w:t>
            </w:r>
            <w:r>
              <w:t>,</w:t>
            </w:r>
            <w:r w:rsidRPr="00571F00">
              <w:t xml:space="preserve"> more Texans are working from home or not</w:t>
            </w:r>
            <w:r>
              <w:t xml:space="preserve"> </w:t>
            </w:r>
            <w:r w:rsidRPr="00571F00">
              <w:t>commuting to an office</w:t>
            </w:r>
            <w:r w:rsidR="00E01C7F">
              <w:t xml:space="preserve"> daily</w:t>
            </w:r>
            <w:r w:rsidRPr="00571F00">
              <w:t xml:space="preserve">. As a result, there are needed updates to our statutes and the qualifiers for certain programs like the </w:t>
            </w:r>
            <w:r w:rsidR="00B87705">
              <w:t>Texas E</w:t>
            </w:r>
            <w:r w:rsidRPr="00571F00">
              <w:t xml:space="preserve">nterprise </w:t>
            </w:r>
            <w:r w:rsidR="00B87705">
              <w:t>Z</w:t>
            </w:r>
            <w:r w:rsidRPr="00571F00">
              <w:t xml:space="preserve">one </w:t>
            </w:r>
            <w:r w:rsidR="00B87705">
              <w:t>P</w:t>
            </w:r>
            <w:r w:rsidRPr="00571F00">
              <w:t xml:space="preserve">rogram. </w:t>
            </w:r>
            <w:r>
              <w:t>C.S.H.B. 2644 seeks to</w:t>
            </w:r>
            <w:r w:rsidR="000C2C0C">
              <w:t xml:space="preserve"> revise the definition of "qualified employee" under the Texas Enterprise Zone Act to</w:t>
            </w:r>
            <w:r w:rsidRPr="00571F00">
              <w:t xml:space="preserve"> clarif</w:t>
            </w:r>
            <w:r w:rsidR="00C17A7A">
              <w:t>y that</w:t>
            </w:r>
            <w:r w:rsidRPr="00571F00">
              <w:t xml:space="preserve"> an employee of a company may work from home and the company could still qualify for </w:t>
            </w:r>
            <w:r w:rsidR="00DC7A77">
              <w:t>e</w:t>
            </w:r>
            <w:r w:rsidRPr="00571F00">
              <w:t xml:space="preserve">nterprise </w:t>
            </w:r>
            <w:r w:rsidR="00DC7A77">
              <w:t>z</w:t>
            </w:r>
            <w:r w:rsidRPr="00571F00">
              <w:t>one funds</w:t>
            </w:r>
            <w:r w:rsidR="000C2C0C">
              <w:t>, so long as the employee is assigned to and resides within 50 miles of a qualified business site</w:t>
            </w:r>
            <w:r w:rsidR="00C17A7A">
              <w:t xml:space="preserve">. </w:t>
            </w:r>
            <w:r w:rsidRPr="00571F00">
              <w:t xml:space="preserve"> </w:t>
            </w:r>
          </w:p>
          <w:p w14:paraId="7639A806" w14:textId="77777777" w:rsidR="008423E4" w:rsidRPr="00E26B13" w:rsidRDefault="008423E4" w:rsidP="006D3468">
            <w:pPr>
              <w:rPr>
                <w:b/>
              </w:rPr>
            </w:pPr>
          </w:p>
        </w:tc>
      </w:tr>
      <w:tr w:rsidR="00892A21" w14:paraId="201EDE5A" w14:textId="77777777" w:rsidTr="006D3468">
        <w:tc>
          <w:tcPr>
            <w:tcW w:w="9360" w:type="dxa"/>
          </w:tcPr>
          <w:p w14:paraId="3990AED5" w14:textId="77777777" w:rsidR="0017725B" w:rsidRDefault="00D24D0C" w:rsidP="006D346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E8FF359" w14:textId="77777777" w:rsidR="0017725B" w:rsidRDefault="0017725B" w:rsidP="006D3468">
            <w:pPr>
              <w:rPr>
                <w:b/>
                <w:u w:val="single"/>
              </w:rPr>
            </w:pPr>
          </w:p>
          <w:p w14:paraId="26D9FE09" w14:textId="13F36E06" w:rsidR="00570F47" w:rsidRPr="00570F47" w:rsidRDefault="00D24D0C" w:rsidP="006D3468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4D3FB566" w14:textId="77777777" w:rsidR="0017725B" w:rsidRPr="0017725B" w:rsidRDefault="0017725B" w:rsidP="006D3468">
            <w:pPr>
              <w:rPr>
                <w:b/>
                <w:u w:val="single"/>
              </w:rPr>
            </w:pPr>
          </w:p>
        </w:tc>
      </w:tr>
      <w:tr w:rsidR="00892A21" w14:paraId="666D84AC" w14:textId="77777777" w:rsidTr="006D3468">
        <w:tc>
          <w:tcPr>
            <w:tcW w:w="9360" w:type="dxa"/>
          </w:tcPr>
          <w:p w14:paraId="5B44E36F" w14:textId="77777777" w:rsidR="008423E4" w:rsidRPr="00A8133F" w:rsidRDefault="00D24D0C" w:rsidP="006D346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CD5F0C3" w14:textId="77777777" w:rsidR="008423E4" w:rsidRDefault="008423E4" w:rsidP="006D3468"/>
          <w:p w14:paraId="123FBC3C" w14:textId="3225012C" w:rsidR="00570F47" w:rsidRDefault="00D24D0C" w:rsidP="006D34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3DF3E80" w14:textId="77777777" w:rsidR="008423E4" w:rsidRPr="00E21FDC" w:rsidRDefault="008423E4" w:rsidP="006D3468">
            <w:pPr>
              <w:rPr>
                <w:b/>
              </w:rPr>
            </w:pPr>
          </w:p>
        </w:tc>
      </w:tr>
      <w:tr w:rsidR="00892A21" w14:paraId="7FEDC87C" w14:textId="77777777" w:rsidTr="006D3468">
        <w:tc>
          <w:tcPr>
            <w:tcW w:w="9360" w:type="dxa"/>
          </w:tcPr>
          <w:p w14:paraId="1287A1F7" w14:textId="77777777" w:rsidR="008423E4" w:rsidRPr="00A8133F" w:rsidRDefault="00D24D0C" w:rsidP="006D346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85D2E49" w14:textId="77777777" w:rsidR="008423E4" w:rsidRDefault="008423E4" w:rsidP="006D3468"/>
          <w:p w14:paraId="192BC895" w14:textId="1849AA6E" w:rsidR="00196C0A" w:rsidRDefault="00D24D0C" w:rsidP="006D34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D0329">
              <w:t xml:space="preserve">H.B. 2644 amends the Government Code to </w:t>
            </w:r>
            <w:r w:rsidR="001055E9">
              <w:t>revise</w:t>
            </w:r>
            <w:r w:rsidR="006D0329">
              <w:t xml:space="preserve"> the definition of a </w:t>
            </w:r>
            <w:r w:rsidR="006D0329" w:rsidRPr="006D0329">
              <w:t>"</w:t>
            </w:r>
            <w:r w:rsidR="001055E9">
              <w:t>q</w:t>
            </w:r>
            <w:r w:rsidR="006D0329" w:rsidRPr="006D0329">
              <w:t>ualified employee</w:t>
            </w:r>
            <w:r w:rsidR="00846B77">
              <w:t>"</w:t>
            </w:r>
            <w:r w:rsidR="001055E9">
              <w:t xml:space="preserve"> for purposes of </w:t>
            </w:r>
            <w:r w:rsidR="00EA177F">
              <w:t>the Texas</w:t>
            </w:r>
            <w:r w:rsidR="001055E9">
              <w:t xml:space="preserve"> </w:t>
            </w:r>
            <w:r w:rsidR="00EA177F">
              <w:t>E</w:t>
            </w:r>
            <w:r w:rsidR="001055E9">
              <w:t xml:space="preserve">nterprise </w:t>
            </w:r>
            <w:r w:rsidR="00EA177F">
              <w:t>Z</w:t>
            </w:r>
            <w:r w:rsidR="001055E9">
              <w:t>one</w:t>
            </w:r>
            <w:r w:rsidR="00EA177F">
              <w:t xml:space="preserve"> Act</w:t>
            </w:r>
            <w:r w:rsidR="00846B77">
              <w:t xml:space="preserve"> as follow</w:t>
            </w:r>
            <w:r w:rsidR="00302435">
              <w:t>s</w:t>
            </w:r>
            <w:r>
              <w:t>:</w:t>
            </w:r>
          </w:p>
          <w:p w14:paraId="727C7EE7" w14:textId="5154068B" w:rsidR="00196C0A" w:rsidRDefault="00D24D0C" w:rsidP="006D346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by adding </w:t>
            </w:r>
            <w:r w:rsidR="0037272A">
              <w:t>the criteria that</w:t>
            </w:r>
            <w:r>
              <w:t xml:space="preserve"> the employee </w:t>
            </w:r>
            <w:r w:rsidR="0037272A">
              <w:t>is</w:t>
            </w:r>
            <w:r w:rsidR="00E01C7F">
              <w:t xml:space="preserve"> </w:t>
            </w:r>
            <w:r>
              <w:t>a Texas resident; and</w:t>
            </w:r>
          </w:p>
          <w:p w14:paraId="56FC4CF3" w14:textId="1FCA4985" w:rsidR="00196C0A" w:rsidRDefault="00D24D0C" w:rsidP="006D346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by</w:t>
            </w:r>
            <w:r w:rsidR="00DC7A77">
              <w:t xml:space="preserve"> changing </w:t>
            </w:r>
            <w:r w:rsidR="0037272A">
              <w:t xml:space="preserve">the provision </w:t>
            </w:r>
            <w:r w:rsidR="00DC7A77">
              <w:t>that makes</w:t>
            </w:r>
            <w:r w:rsidR="0037272A">
              <w:t xml:space="preserve"> </w:t>
            </w:r>
            <w:r>
              <w:t>an</w:t>
            </w:r>
            <w:r w:rsidR="00BF66E9">
              <w:t xml:space="preserve"> employee</w:t>
            </w:r>
            <w:r w:rsidR="001055E9">
              <w:t xml:space="preserve"> </w:t>
            </w:r>
            <w:r w:rsidR="00E743D1">
              <w:t xml:space="preserve">who </w:t>
            </w:r>
            <w:r w:rsidR="00BF66E9">
              <w:t>engages in the transportation of goods and services and</w:t>
            </w:r>
            <w:r w:rsidR="007C6A7B" w:rsidRPr="007C6A7B">
              <w:t xml:space="preserve"> </w:t>
            </w:r>
            <w:r w:rsidR="00E743D1">
              <w:t>reports</w:t>
            </w:r>
            <w:r w:rsidR="0070693C" w:rsidRPr="0070693C">
              <w:t xml:space="preserve"> to</w:t>
            </w:r>
            <w:r w:rsidR="00E743D1">
              <w:t xml:space="preserve"> and resides within 50 miles of</w:t>
            </w:r>
            <w:r w:rsidR="0070693C" w:rsidRPr="0070693C">
              <w:t xml:space="preserve"> the qualified business site</w:t>
            </w:r>
            <w:r>
              <w:t xml:space="preserve"> </w:t>
            </w:r>
            <w:r w:rsidR="00DC7A77">
              <w:t xml:space="preserve">eligible </w:t>
            </w:r>
            <w:r>
              <w:t>to be considered qualified</w:t>
            </w:r>
            <w:r w:rsidR="00BF66E9">
              <w:t xml:space="preserve"> </w:t>
            </w:r>
            <w:r w:rsidR="00DC7A77">
              <w:t>so that it applies</w:t>
            </w:r>
            <w:r>
              <w:t xml:space="preserve"> instead to</w:t>
            </w:r>
            <w:r w:rsidR="00BF66E9">
              <w:t xml:space="preserve"> </w:t>
            </w:r>
            <w:r w:rsidR="00DC7A77">
              <w:t xml:space="preserve">an </w:t>
            </w:r>
            <w:r w:rsidR="00BF66E9">
              <w:t>employee who</w:t>
            </w:r>
            <w:r w:rsidR="007C6A7B">
              <w:t xml:space="preserve"> </w:t>
            </w:r>
            <w:r w:rsidR="001055E9">
              <w:t>engag</w:t>
            </w:r>
            <w:r w:rsidR="00BF66E9">
              <w:t>es</w:t>
            </w:r>
            <w:r w:rsidR="001055E9">
              <w:t xml:space="preserve"> in</w:t>
            </w:r>
            <w:r w:rsidR="0083284C">
              <w:t xml:space="preserve"> off</w:t>
            </w:r>
            <w:r w:rsidR="009A58F0">
              <w:t>-</w:t>
            </w:r>
            <w:r w:rsidR="0083284C">
              <w:t>site</w:t>
            </w:r>
            <w:r w:rsidR="006D0329">
              <w:t xml:space="preserve"> </w:t>
            </w:r>
            <w:r w:rsidR="00CF292A">
              <w:t>services</w:t>
            </w:r>
            <w:r w:rsidR="009A58F0">
              <w:t xml:space="preserve"> and is assigned to</w:t>
            </w:r>
            <w:r>
              <w:t xml:space="preserve"> and resides within 50 miles of</w:t>
            </w:r>
            <w:r w:rsidR="009A58F0">
              <w:t xml:space="preserve"> the qualified business site</w:t>
            </w:r>
            <w:r w:rsidR="0083284C">
              <w:t xml:space="preserve">. </w:t>
            </w:r>
          </w:p>
          <w:p w14:paraId="29C59125" w14:textId="55355F59" w:rsidR="009C36CD" w:rsidRPr="009C36CD" w:rsidRDefault="00D24D0C" w:rsidP="006D34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Both of these changes</w:t>
            </w:r>
            <w:r w:rsidR="00BF66E9">
              <w:t xml:space="preserve"> </w:t>
            </w:r>
            <w:r w:rsidR="0083284C" w:rsidRPr="0083284C">
              <w:t>appl</w:t>
            </w:r>
            <w:r>
              <w:t>y</w:t>
            </w:r>
            <w:r w:rsidR="0083284C" w:rsidRPr="0083284C">
              <w:t xml:space="preserve"> to an application for</w:t>
            </w:r>
            <w:r w:rsidR="0083284C">
              <w:t xml:space="preserve"> </w:t>
            </w:r>
            <w:r w:rsidR="0083284C" w:rsidRPr="0083284C">
              <w:t>an enterprise project</w:t>
            </w:r>
            <w:r w:rsidR="00BF66E9">
              <w:t xml:space="preserve"> designation under the enterprise zone program</w:t>
            </w:r>
            <w:r w:rsidR="009344BE">
              <w:t xml:space="preserve"> that is submitted on or after the bill</w:t>
            </w:r>
            <w:r>
              <w:t>'</w:t>
            </w:r>
            <w:r w:rsidR="009344BE">
              <w:t>s effective date</w:t>
            </w:r>
            <w:r w:rsidR="00846B77">
              <w:t>. The change regarding employee</w:t>
            </w:r>
            <w:r>
              <w:t>s</w:t>
            </w:r>
            <w:r w:rsidR="00846B77">
              <w:t xml:space="preserve"> who engage in services </w:t>
            </w:r>
            <w:r>
              <w:t xml:space="preserve">off-site also </w:t>
            </w:r>
            <w:r w:rsidR="00846B77">
              <w:t>applies to</w:t>
            </w:r>
            <w:r w:rsidR="009344BE">
              <w:t xml:space="preserve"> an enterprise project </w:t>
            </w:r>
            <w:r w:rsidR="0083284C" w:rsidRPr="0083284C">
              <w:t>that is under audit or subject to audit by the comptroller of public accounts on or after th</w:t>
            </w:r>
            <w:r w:rsidR="009344BE">
              <w:t>at</w:t>
            </w:r>
            <w:r w:rsidR="0083284C" w:rsidRPr="0083284C">
              <w:t xml:space="preserve"> date</w:t>
            </w:r>
            <w:r w:rsidR="0083284C">
              <w:t>.</w:t>
            </w:r>
          </w:p>
          <w:p w14:paraId="1B5DFE34" w14:textId="77777777" w:rsidR="008423E4" w:rsidRPr="00835628" w:rsidRDefault="008423E4" w:rsidP="006D3468">
            <w:pPr>
              <w:rPr>
                <w:b/>
              </w:rPr>
            </w:pPr>
          </w:p>
        </w:tc>
      </w:tr>
      <w:tr w:rsidR="00892A21" w14:paraId="4FD87816" w14:textId="77777777" w:rsidTr="006D3468">
        <w:tc>
          <w:tcPr>
            <w:tcW w:w="9360" w:type="dxa"/>
          </w:tcPr>
          <w:p w14:paraId="603134B5" w14:textId="77777777" w:rsidR="008423E4" w:rsidRPr="00A8133F" w:rsidRDefault="00D24D0C" w:rsidP="006D346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ABFE0BD" w14:textId="77777777" w:rsidR="008423E4" w:rsidRDefault="008423E4" w:rsidP="006D3468"/>
          <w:p w14:paraId="0E1D9C76" w14:textId="596C192D" w:rsidR="008423E4" w:rsidRPr="003624F2" w:rsidRDefault="00D24D0C" w:rsidP="006D34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</w:t>
            </w:r>
            <w:r>
              <w:t>t receive the necessary vote, September 1, 2023.</w:t>
            </w:r>
          </w:p>
          <w:p w14:paraId="210820A1" w14:textId="77777777" w:rsidR="008423E4" w:rsidRPr="00233FDB" w:rsidRDefault="008423E4" w:rsidP="006D3468">
            <w:pPr>
              <w:rPr>
                <w:b/>
              </w:rPr>
            </w:pPr>
          </w:p>
        </w:tc>
      </w:tr>
      <w:tr w:rsidR="00892A21" w14:paraId="3B2D6D1F" w14:textId="77777777" w:rsidTr="006D3468">
        <w:tc>
          <w:tcPr>
            <w:tcW w:w="9360" w:type="dxa"/>
          </w:tcPr>
          <w:p w14:paraId="77EB331B" w14:textId="77777777" w:rsidR="00A63BFD" w:rsidRDefault="00D24D0C" w:rsidP="006D346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291130A" w14:textId="77777777" w:rsidR="007545C4" w:rsidRDefault="007545C4" w:rsidP="006D3468">
            <w:pPr>
              <w:jc w:val="both"/>
              <w:rPr>
                <w:b/>
                <w:u w:val="single"/>
              </w:rPr>
            </w:pPr>
          </w:p>
          <w:p w14:paraId="32941FCE" w14:textId="77777777" w:rsidR="000B477E" w:rsidRDefault="00D24D0C" w:rsidP="006D3468">
            <w:pPr>
              <w:jc w:val="both"/>
            </w:pPr>
            <w:r>
              <w:t xml:space="preserve">While C.S.H.B. 2644 may differ from the introduced in minor or nonsubstantive ways, the following summarizes the substantial differences between the </w:t>
            </w:r>
            <w:r>
              <w:t>introduced and committee substitute versions of the bill.</w:t>
            </w:r>
          </w:p>
          <w:p w14:paraId="7794EC03" w14:textId="77777777" w:rsidR="000B477E" w:rsidRDefault="000B477E" w:rsidP="006D3468">
            <w:pPr>
              <w:jc w:val="both"/>
            </w:pPr>
          </w:p>
          <w:p w14:paraId="581B2DB0" w14:textId="77777777" w:rsidR="004A2292" w:rsidRDefault="00D24D0C" w:rsidP="006D3468">
            <w:pPr>
              <w:jc w:val="both"/>
            </w:pPr>
            <w:r>
              <w:t xml:space="preserve">Both the introduced and the substitute revise the definition of a </w:t>
            </w:r>
            <w:r w:rsidRPr="006D0329">
              <w:t>"</w:t>
            </w:r>
            <w:r>
              <w:t>q</w:t>
            </w:r>
            <w:r w:rsidRPr="006D0329">
              <w:t>ualified employee</w:t>
            </w:r>
            <w:r>
              <w:t xml:space="preserve">" for purposes of the Texas Enterprise Zone Act so that employees who engage in services off-site are included, </w:t>
            </w:r>
            <w:r>
              <w:t xml:space="preserve">subject to certain conditions. However, the introduced required that such an employee report to the qualified business site, whereas the substitute requires that the employee be assigned to that site. </w:t>
            </w:r>
          </w:p>
          <w:p w14:paraId="66CAE7FB" w14:textId="77777777" w:rsidR="004A2292" w:rsidRDefault="004A2292" w:rsidP="006D3468">
            <w:pPr>
              <w:jc w:val="both"/>
            </w:pPr>
          </w:p>
          <w:p w14:paraId="46580E67" w14:textId="678ED114" w:rsidR="000B477E" w:rsidRPr="00A63BFD" w:rsidRDefault="00D24D0C" w:rsidP="006D3468">
            <w:pPr>
              <w:jc w:val="both"/>
              <w:rPr>
                <w:b/>
                <w:u w:val="single"/>
              </w:rPr>
            </w:pPr>
            <w:r>
              <w:t xml:space="preserve">The substitute also </w:t>
            </w:r>
            <w:r w:rsidRPr="0037272A">
              <w:t>adds the criteri</w:t>
            </w:r>
            <w:r w:rsidR="00841E28">
              <w:t>on</w:t>
            </w:r>
            <w:r>
              <w:t xml:space="preserve"> that a qualified employee must be a Texas resident, whereas the introduced did not</w:t>
            </w:r>
            <w:r w:rsidR="00721B52">
              <w:t xml:space="preserve">, </w:t>
            </w:r>
            <w:r w:rsidR="00EB5943">
              <w:t>but</w:t>
            </w:r>
            <w:r w:rsidR="00721B52">
              <w:t xml:space="preserve"> this criteri</w:t>
            </w:r>
            <w:r w:rsidR="00841E28">
              <w:t>on</w:t>
            </w:r>
            <w:r w:rsidR="00721B52">
              <w:t xml:space="preserve"> </w:t>
            </w:r>
            <w:r w:rsidR="00EB5943" w:rsidRPr="0083284C">
              <w:t>appl</w:t>
            </w:r>
            <w:r w:rsidR="00EB5943">
              <w:t>ies only</w:t>
            </w:r>
            <w:r w:rsidR="00EB5943" w:rsidRPr="0083284C">
              <w:t xml:space="preserve"> to an application for</w:t>
            </w:r>
            <w:r w:rsidR="00EB5943">
              <w:t xml:space="preserve"> </w:t>
            </w:r>
            <w:r w:rsidR="00EB5943" w:rsidRPr="0083284C">
              <w:t>an enterprise project</w:t>
            </w:r>
            <w:r w:rsidR="00EB5943">
              <w:t xml:space="preserve"> designation that is submitted on or after the bill's effective date and does not apply to an enterprise project </w:t>
            </w:r>
            <w:r w:rsidR="00EB5943" w:rsidRPr="0083284C">
              <w:t>that is under audit or subject to audit on or after th</w:t>
            </w:r>
            <w:r w:rsidR="00EB5943">
              <w:t>at</w:t>
            </w:r>
            <w:r w:rsidR="00EB5943" w:rsidRPr="0083284C">
              <w:t xml:space="preserve"> date</w:t>
            </w:r>
            <w:r w:rsidR="00EB5943">
              <w:t xml:space="preserve"> like the other bill provision does.</w:t>
            </w:r>
          </w:p>
        </w:tc>
      </w:tr>
    </w:tbl>
    <w:p w14:paraId="3E83B54A" w14:textId="77777777" w:rsidR="008423E4" w:rsidRPr="00BE0E75" w:rsidRDefault="008423E4" w:rsidP="006D3468">
      <w:pPr>
        <w:jc w:val="both"/>
        <w:rPr>
          <w:rFonts w:ascii="Arial" w:hAnsi="Arial"/>
          <w:sz w:val="16"/>
          <w:szCs w:val="16"/>
        </w:rPr>
      </w:pPr>
    </w:p>
    <w:p w14:paraId="5DCEB4CB" w14:textId="77777777" w:rsidR="004108C3" w:rsidRPr="008423E4" w:rsidRDefault="004108C3" w:rsidP="006D346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4151" w14:textId="77777777" w:rsidR="00000000" w:rsidRDefault="00D24D0C">
      <w:r>
        <w:separator/>
      </w:r>
    </w:p>
  </w:endnote>
  <w:endnote w:type="continuationSeparator" w:id="0">
    <w:p w14:paraId="4CF988F4" w14:textId="77777777" w:rsidR="00000000" w:rsidRDefault="00D2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330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92A21" w14:paraId="4E734410" w14:textId="77777777" w:rsidTr="009C1E9A">
      <w:trPr>
        <w:cantSplit/>
      </w:trPr>
      <w:tc>
        <w:tcPr>
          <w:tcW w:w="0" w:type="pct"/>
        </w:tcPr>
        <w:p w14:paraId="76B299E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C671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F78C7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D3C9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9F2B0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92A21" w14:paraId="78824606" w14:textId="77777777" w:rsidTr="009C1E9A">
      <w:trPr>
        <w:cantSplit/>
      </w:trPr>
      <w:tc>
        <w:tcPr>
          <w:tcW w:w="0" w:type="pct"/>
        </w:tcPr>
        <w:p w14:paraId="3706E7E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FAD3A5" w14:textId="56EBE63A" w:rsidR="00EC379B" w:rsidRPr="009C1E9A" w:rsidRDefault="00D24D0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24690-D</w:t>
          </w:r>
        </w:p>
      </w:tc>
      <w:tc>
        <w:tcPr>
          <w:tcW w:w="2453" w:type="pct"/>
        </w:tcPr>
        <w:p w14:paraId="1796352A" w14:textId="6CF7E246" w:rsidR="00EC379B" w:rsidRDefault="00D24D0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86EA3">
            <w:t>23.109.1374</w:t>
          </w:r>
          <w:r>
            <w:fldChar w:fldCharType="end"/>
          </w:r>
        </w:p>
      </w:tc>
    </w:tr>
    <w:tr w:rsidR="00892A21" w14:paraId="6AAD9A99" w14:textId="77777777" w:rsidTr="009C1E9A">
      <w:trPr>
        <w:cantSplit/>
      </w:trPr>
      <w:tc>
        <w:tcPr>
          <w:tcW w:w="0" w:type="pct"/>
        </w:tcPr>
        <w:p w14:paraId="38C5561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5852274" w14:textId="64FB336E" w:rsidR="00EC379B" w:rsidRPr="009C1E9A" w:rsidRDefault="00D24D0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22695</w:t>
          </w:r>
        </w:p>
      </w:tc>
      <w:tc>
        <w:tcPr>
          <w:tcW w:w="2453" w:type="pct"/>
        </w:tcPr>
        <w:p w14:paraId="5F876B0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92279F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92A21" w14:paraId="7EBC60F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110BD52" w14:textId="77777777" w:rsidR="00EC379B" w:rsidRDefault="00D24D0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A3BAF2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BE1854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D74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9EB0" w14:textId="77777777" w:rsidR="00000000" w:rsidRDefault="00D24D0C">
      <w:r>
        <w:separator/>
      </w:r>
    </w:p>
  </w:footnote>
  <w:footnote w:type="continuationSeparator" w:id="0">
    <w:p w14:paraId="469D61D7" w14:textId="77777777" w:rsidR="00000000" w:rsidRDefault="00D24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CC2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1BE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851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5547"/>
    <w:multiLevelType w:val="hybridMultilevel"/>
    <w:tmpl w:val="7B62E736"/>
    <w:lvl w:ilvl="0" w:tplc="489AC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1FEC14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AC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AB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03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4E0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CB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CD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1AA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6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2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3FA2"/>
    <w:rsid w:val="00074236"/>
    <w:rsid w:val="000746BD"/>
    <w:rsid w:val="00076D7D"/>
    <w:rsid w:val="00080D95"/>
    <w:rsid w:val="00086577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477E"/>
    <w:rsid w:val="000B54AF"/>
    <w:rsid w:val="000B6090"/>
    <w:rsid w:val="000B6FEE"/>
    <w:rsid w:val="000C12C4"/>
    <w:rsid w:val="000C2C0C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5E9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5E7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EA3"/>
    <w:rsid w:val="00187C1B"/>
    <w:rsid w:val="001908AC"/>
    <w:rsid w:val="00190CFB"/>
    <w:rsid w:val="0019457A"/>
    <w:rsid w:val="00195257"/>
    <w:rsid w:val="00195388"/>
    <w:rsid w:val="0019539E"/>
    <w:rsid w:val="001968BC"/>
    <w:rsid w:val="00196C0A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BD8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2435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272A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693C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E07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1878"/>
    <w:rsid w:val="00492211"/>
    <w:rsid w:val="00492325"/>
    <w:rsid w:val="00492A6D"/>
    <w:rsid w:val="00494303"/>
    <w:rsid w:val="0049682B"/>
    <w:rsid w:val="004977A3"/>
    <w:rsid w:val="0049791D"/>
    <w:rsid w:val="004A03F7"/>
    <w:rsid w:val="004A081C"/>
    <w:rsid w:val="004A123F"/>
    <w:rsid w:val="004A2172"/>
    <w:rsid w:val="004A229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0F5D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F47"/>
    <w:rsid w:val="00571F00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180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50D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0329"/>
    <w:rsid w:val="006D3005"/>
    <w:rsid w:val="006D3468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693C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1B52"/>
    <w:rsid w:val="00722EC5"/>
    <w:rsid w:val="00723326"/>
    <w:rsid w:val="00724252"/>
    <w:rsid w:val="00727E7A"/>
    <w:rsid w:val="00730F93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5C4"/>
    <w:rsid w:val="00755C7B"/>
    <w:rsid w:val="00764761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2EE"/>
    <w:rsid w:val="0079487D"/>
    <w:rsid w:val="007966D4"/>
    <w:rsid w:val="00796810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6A7B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AB3"/>
    <w:rsid w:val="00827749"/>
    <w:rsid w:val="00827B7E"/>
    <w:rsid w:val="00830EEB"/>
    <w:rsid w:val="0083284C"/>
    <w:rsid w:val="008347A9"/>
    <w:rsid w:val="00835628"/>
    <w:rsid w:val="008359D8"/>
    <w:rsid w:val="00835E90"/>
    <w:rsid w:val="0084176D"/>
    <w:rsid w:val="00841E28"/>
    <w:rsid w:val="008423E4"/>
    <w:rsid w:val="00842900"/>
    <w:rsid w:val="00846B77"/>
    <w:rsid w:val="00850CF0"/>
    <w:rsid w:val="00851869"/>
    <w:rsid w:val="00851C04"/>
    <w:rsid w:val="00852CC8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2A21"/>
    <w:rsid w:val="008930D7"/>
    <w:rsid w:val="008947A7"/>
    <w:rsid w:val="00897E80"/>
    <w:rsid w:val="008A04FA"/>
    <w:rsid w:val="008A3188"/>
    <w:rsid w:val="008A3FDF"/>
    <w:rsid w:val="008A5C4A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3ECB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4BE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8F0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6E0"/>
    <w:rsid w:val="00A577AF"/>
    <w:rsid w:val="00A60177"/>
    <w:rsid w:val="00A61C27"/>
    <w:rsid w:val="00A62638"/>
    <w:rsid w:val="00A6344D"/>
    <w:rsid w:val="00A63BFD"/>
    <w:rsid w:val="00A644B8"/>
    <w:rsid w:val="00A70E35"/>
    <w:rsid w:val="00A720DC"/>
    <w:rsid w:val="00A803CF"/>
    <w:rsid w:val="00A8133F"/>
    <w:rsid w:val="00A82CB4"/>
    <w:rsid w:val="00A837A8"/>
    <w:rsid w:val="00A83C36"/>
    <w:rsid w:val="00A916B5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651"/>
    <w:rsid w:val="00B73BB4"/>
    <w:rsid w:val="00B80532"/>
    <w:rsid w:val="00B82039"/>
    <w:rsid w:val="00B82454"/>
    <w:rsid w:val="00B8391F"/>
    <w:rsid w:val="00B87705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704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6E9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A7A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598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083"/>
    <w:rsid w:val="00CD731C"/>
    <w:rsid w:val="00CE08E8"/>
    <w:rsid w:val="00CE2133"/>
    <w:rsid w:val="00CE245D"/>
    <w:rsid w:val="00CE300F"/>
    <w:rsid w:val="00CE3582"/>
    <w:rsid w:val="00CE3795"/>
    <w:rsid w:val="00CE3E20"/>
    <w:rsid w:val="00CF292A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D0C"/>
    <w:rsid w:val="00D30534"/>
    <w:rsid w:val="00D35128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C7A77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1C7F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43D1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177F"/>
    <w:rsid w:val="00EA385A"/>
    <w:rsid w:val="00EA3931"/>
    <w:rsid w:val="00EA658E"/>
    <w:rsid w:val="00EA7A88"/>
    <w:rsid w:val="00EB27F2"/>
    <w:rsid w:val="00EB3928"/>
    <w:rsid w:val="00EB5373"/>
    <w:rsid w:val="00EB594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C8C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9E087F-1C3E-4DF2-A738-8DCDA13A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70F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0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0F4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0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0F47"/>
    <w:rPr>
      <w:b/>
      <w:bCs/>
    </w:rPr>
  </w:style>
  <w:style w:type="paragraph" w:styleId="Revision">
    <w:name w:val="Revision"/>
    <w:hidden/>
    <w:uiPriority w:val="99"/>
    <w:semiHidden/>
    <w:rsid w:val="001055E9"/>
    <w:rPr>
      <w:sz w:val="24"/>
      <w:szCs w:val="24"/>
    </w:rPr>
  </w:style>
  <w:style w:type="character" w:styleId="Hyperlink">
    <w:name w:val="Hyperlink"/>
    <w:basedOn w:val="DefaultParagraphFont"/>
    <w:unhideWhenUsed/>
    <w:rsid w:val="005F018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2767</Characters>
  <Application>Microsoft Office Word</Application>
  <DocSecurity>4</DocSecurity>
  <Lines>68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HB02644 (Committee Report (Substituted))</vt:lpstr>
    </vt:vector>
  </TitlesOfParts>
  <Company>State of Texas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24690</dc:subject>
  <dc:creator>State of Texas</dc:creator>
  <dc:description>HB 2644 by Craddick-(H)International Relations &amp; Economic Development (Substitute Document Number: 88R 22695)</dc:description>
  <cp:lastModifiedBy>Stacey Nicchio</cp:lastModifiedBy>
  <cp:revision>2</cp:revision>
  <cp:lastPrinted>2003-11-26T17:21:00Z</cp:lastPrinted>
  <dcterms:created xsi:type="dcterms:W3CDTF">2023-04-21T23:02:00Z</dcterms:created>
  <dcterms:modified xsi:type="dcterms:W3CDTF">2023-04-21T23:02:00Z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23.109.1374</vt:lpwstr>
  </property>
</Properties>
</file>