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C663C" w14:paraId="6E7F461A" w14:textId="77777777" w:rsidTr="00345119">
        <w:tc>
          <w:tcPr>
            <w:tcW w:w="9576" w:type="dxa"/>
            <w:noWrap/>
          </w:tcPr>
          <w:p w14:paraId="33376089" w14:textId="77777777" w:rsidR="008423E4" w:rsidRPr="0022177D" w:rsidRDefault="007D09A0" w:rsidP="009F3C69">
            <w:pPr>
              <w:pStyle w:val="Heading1"/>
            </w:pPr>
            <w:r w:rsidRPr="00631897">
              <w:t>BILL ANALYSIS</w:t>
            </w:r>
          </w:p>
        </w:tc>
      </w:tr>
    </w:tbl>
    <w:p w14:paraId="23B14796" w14:textId="77777777" w:rsidR="008423E4" w:rsidRPr="0022177D" w:rsidRDefault="008423E4" w:rsidP="009F3C69">
      <w:pPr>
        <w:jc w:val="center"/>
      </w:pPr>
    </w:p>
    <w:p w14:paraId="63140DF2" w14:textId="77777777" w:rsidR="008423E4" w:rsidRPr="00B31F0E" w:rsidRDefault="008423E4" w:rsidP="009F3C69"/>
    <w:p w14:paraId="1367EF8F" w14:textId="77777777" w:rsidR="008423E4" w:rsidRPr="00742794" w:rsidRDefault="008423E4" w:rsidP="009F3C6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C663C" w14:paraId="4FF29138" w14:textId="77777777" w:rsidTr="00345119">
        <w:tc>
          <w:tcPr>
            <w:tcW w:w="9576" w:type="dxa"/>
          </w:tcPr>
          <w:p w14:paraId="155DF0FB" w14:textId="10D648B6" w:rsidR="008423E4" w:rsidRPr="00861995" w:rsidRDefault="007D09A0" w:rsidP="009F3C69">
            <w:pPr>
              <w:jc w:val="right"/>
            </w:pPr>
            <w:r>
              <w:t>C.S.H.B. 2646</w:t>
            </w:r>
          </w:p>
        </w:tc>
      </w:tr>
      <w:tr w:rsidR="000C663C" w14:paraId="2218C067" w14:textId="77777777" w:rsidTr="00345119">
        <w:tc>
          <w:tcPr>
            <w:tcW w:w="9576" w:type="dxa"/>
          </w:tcPr>
          <w:p w14:paraId="27B9E87D" w14:textId="7B63FB12" w:rsidR="008423E4" w:rsidRPr="00861995" w:rsidRDefault="007D09A0" w:rsidP="009F3C69">
            <w:pPr>
              <w:jc w:val="right"/>
            </w:pPr>
            <w:r>
              <w:t xml:space="preserve">By: </w:t>
            </w:r>
            <w:r w:rsidR="00ED70B3">
              <w:t>Johnson, Jarvis</w:t>
            </w:r>
          </w:p>
        </w:tc>
      </w:tr>
      <w:tr w:rsidR="000C663C" w14:paraId="718D4437" w14:textId="77777777" w:rsidTr="00345119">
        <w:tc>
          <w:tcPr>
            <w:tcW w:w="9576" w:type="dxa"/>
          </w:tcPr>
          <w:p w14:paraId="2A9A03B7" w14:textId="589491BE" w:rsidR="008423E4" w:rsidRPr="00861995" w:rsidRDefault="007D09A0" w:rsidP="009F3C69">
            <w:pPr>
              <w:jc w:val="right"/>
            </w:pPr>
            <w:r>
              <w:t>Corrections</w:t>
            </w:r>
          </w:p>
        </w:tc>
      </w:tr>
      <w:tr w:rsidR="000C663C" w14:paraId="47C1CAF6" w14:textId="77777777" w:rsidTr="00345119">
        <w:tc>
          <w:tcPr>
            <w:tcW w:w="9576" w:type="dxa"/>
          </w:tcPr>
          <w:p w14:paraId="537EEFC9" w14:textId="51FD4181" w:rsidR="008423E4" w:rsidRDefault="007D09A0" w:rsidP="009F3C69">
            <w:pPr>
              <w:jc w:val="right"/>
            </w:pPr>
            <w:r>
              <w:t>Committee Report (Substituted)</w:t>
            </w:r>
          </w:p>
        </w:tc>
      </w:tr>
    </w:tbl>
    <w:p w14:paraId="70940A25" w14:textId="77777777" w:rsidR="008423E4" w:rsidRDefault="008423E4" w:rsidP="009F3C69">
      <w:pPr>
        <w:tabs>
          <w:tab w:val="right" w:pos="9360"/>
        </w:tabs>
      </w:pPr>
    </w:p>
    <w:p w14:paraId="7A5611EB" w14:textId="77777777" w:rsidR="008423E4" w:rsidRDefault="008423E4" w:rsidP="009F3C69"/>
    <w:p w14:paraId="52FA548A" w14:textId="77777777" w:rsidR="008423E4" w:rsidRDefault="008423E4" w:rsidP="009F3C6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C663C" w14:paraId="4115EE7C" w14:textId="77777777" w:rsidTr="00A009DA">
        <w:tc>
          <w:tcPr>
            <w:tcW w:w="9360" w:type="dxa"/>
          </w:tcPr>
          <w:p w14:paraId="688A08D3" w14:textId="77777777" w:rsidR="008423E4" w:rsidRPr="00A8133F" w:rsidRDefault="007D09A0" w:rsidP="009F3C6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2816690" w14:textId="77777777" w:rsidR="008423E4" w:rsidRDefault="008423E4" w:rsidP="009F3C69"/>
          <w:p w14:paraId="094868F9" w14:textId="5ED283E5" w:rsidR="008423E4" w:rsidRDefault="007D09A0" w:rsidP="009F3C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When someone is released from prison, they are often tasked with finding stable housing, employment, and a means to </w:t>
            </w:r>
            <w:r>
              <w:t>provide for their basic needs. It is often difficult for many to accomplish th</w:t>
            </w:r>
            <w:r w:rsidR="00DB2AEC">
              <w:t>ose</w:t>
            </w:r>
            <w:r>
              <w:t xml:space="preserve"> goals while also trying to make payments on their legal financial obligations (LFOs). In Texas, these LFOs are routinely imposed for felony and misdemeanor charges. </w:t>
            </w:r>
            <w:r w:rsidR="00550D1E">
              <w:t xml:space="preserve">State </w:t>
            </w:r>
            <w:r>
              <w:t>law</w:t>
            </w:r>
            <w:r>
              <w:t xml:space="preserve"> stipulates maximum fines </w:t>
            </w:r>
            <w:r w:rsidR="001B35D0">
              <w:t xml:space="preserve">as well as </w:t>
            </w:r>
            <w:r>
              <w:t xml:space="preserve">minimum fees, provides for over 100 distinct court costs and fees, and charges </w:t>
            </w:r>
            <w:r w:rsidR="00550D1E">
              <w:t>additional f</w:t>
            </w:r>
            <w:r w:rsidR="001B35D0">
              <w:t>ees</w:t>
            </w:r>
            <w:r>
              <w:t xml:space="preserve"> if </w:t>
            </w:r>
            <w:r w:rsidR="001B35D0">
              <w:t xml:space="preserve">costs </w:t>
            </w:r>
            <w:r>
              <w:t xml:space="preserve">are not paid in full within 30 days of a judgment. </w:t>
            </w:r>
            <w:r w:rsidR="00550D1E">
              <w:t>C.S.</w:t>
            </w:r>
            <w:r>
              <w:t>H</w:t>
            </w:r>
            <w:r w:rsidR="00550D1E">
              <w:t>.</w:t>
            </w:r>
            <w:r>
              <w:t>B</w:t>
            </w:r>
            <w:r w:rsidR="00550D1E">
              <w:t>.</w:t>
            </w:r>
            <w:r>
              <w:t xml:space="preserve"> 2646 </w:t>
            </w:r>
            <w:r w:rsidR="00550D1E">
              <w:t xml:space="preserve">seeks </w:t>
            </w:r>
            <w:r>
              <w:t>to create a more effective pathway for incar</w:t>
            </w:r>
            <w:r>
              <w:t xml:space="preserve">cerated people to achieve financial stability upon </w:t>
            </w:r>
            <w:r w:rsidR="001B35D0">
              <w:t xml:space="preserve">release </w:t>
            </w:r>
            <w:r w:rsidR="00550D1E">
              <w:t>by</w:t>
            </w:r>
            <w:r>
              <w:t xml:space="preserve"> </w:t>
            </w:r>
            <w:r w:rsidR="00550D1E">
              <w:t>providing</w:t>
            </w:r>
            <w:r w:rsidR="00DB2AEC">
              <w:t xml:space="preserve"> that a person incarcerated by </w:t>
            </w:r>
            <w:r w:rsidR="00D466B6">
              <w:t xml:space="preserve">the Texas Department of Criminal Justice </w:t>
            </w:r>
            <w:r w:rsidR="00DB2AEC">
              <w:t>or confined in a county jail does not have to pay LFOs while incarcerated or confined and by creating</w:t>
            </w:r>
            <w:r w:rsidR="00550D1E">
              <w:t xml:space="preserve"> </w:t>
            </w:r>
            <w:r>
              <w:t>a 180-day g</w:t>
            </w:r>
            <w:r>
              <w:t>race period before requiring them to pay fine</w:t>
            </w:r>
            <w:r w:rsidR="001B35D0">
              <w:t>s</w:t>
            </w:r>
            <w:r>
              <w:t xml:space="preserve"> and </w:t>
            </w:r>
            <w:r w:rsidR="001B35D0">
              <w:t xml:space="preserve">court costs, which </w:t>
            </w:r>
            <w:r>
              <w:t>does not apply to restitution or supervision fees.</w:t>
            </w:r>
          </w:p>
          <w:p w14:paraId="39EFD6F3" w14:textId="77777777" w:rsidR="008423E4" w:rsidRPr="00E26B13" w:rsidRDefault="008423E4" w:rsidP="009F3C69">
            <w:pPr>
              <w:rPr>
                <w:b/>
              </w:rPr>
            </w:pPr>
          </w:p>
        </w:tc>
      </w:tr>
      <w:tr w:rsidR="000C663C" w14:paraId="3FC02560" w14:textId="77777777" w:rsidTr="00A009DA">
        <w:tc>
          <w:tcPr>
            <w:tcW w:w="9360" w:type="dxa"/>
          </w:tcPr>
          <w:p w14:paraId="016AEC75" w14:textId="77777777" w:rsidR="0017725B" w:rsidRDefault="007D09A0" w:rsidP="009F3C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DFDFD12" w14:textId="77777777" w:rsidR="0017725B" w:rsidRDefault="0017725B" w:rsidP="009F3C69">
            <w:pPr>
              <w:rPr>
                <w:b/>
                <w:u w:val="single"/>
              </w:rPr>
            </w:pPr>
          </w:p>
          <w:p w14:paraId="00E6B104" w14:textId="2D2199DB" w:rsidR="00E26C24" w:rsidRPr="00E26C24" w:rsidRDefault="007D09A0" w:rsidP="009F3C69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14:paraId="7849BC0D" w14:textId="77777777" w:rsidR="0017725B" w:rsidRPr="0017725B" w:rsidRDefault="0017725B" w:rsidP="009F3C69">
            <w:pPr>
              <w:rPr>
                <w:b/>
                <w:u w:val="single"/>
              </w:rPr>
            </w:pPr>
          </w:p>
        </w:tc>
      </w:tr>
      <w:tr w:rsidR="000C663C" w14:paraId="1FACE910" w14:textId="77777777" w:rsidTr="00A009DA">
        <w:tc>
          <w:tcPr>
            <w:tcW w:w="9360" w:type="dxa"/>
          </w:tcPr>
          <w:p w14:paraId="4966A805" w14:textId="77777777" w:rsidR="008423E4" w:rsidRPr="00A8133F" w:rsidRDefault="007D09A0" w:rsidP="009F3C6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248A0FC" w14:textId="77777777" w:rsidR="008423E4" w:rsidRDefault="008423E4" w:rsidP="009F3C69"/>
          <w:p w14:paraId="447E681F" w14:textId="406D527D" w:rsidR="00E26C24" w:rsidRDefault="007D09A0" w:rsidP="009F3C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</w:t>
            </w:r>
            <w:r>
              <w:t xml:space="preserve"> grant any additional rulemaking authority to a state officer, department, agency, or institution.</w:t>
            </w:r>
          </w:p>
          <w:p w14:paraId="4412C8C4" w14:textId="77777777" w:rsidR="008423E4" w:rsidRPr="00E21FDC" w:rsidRDefault="008423E4" w:rsidP="009F3C69">
            <w:pPr>
              <w:rPr>
                <w:b/>
              </w:rPr>
            </w:pPr>
          </w:p>
        </w:tc>
      </w:tr>
      <w:tr w:rsidR="000C663C" w14:paraId="28E4572E" w14:textId="77777777" w:rsidTr="00A009DA">
        <w:tc>
          <w:tcPr>
            <w:tcW w:w="9360" w:type="dxa"/>
          </w:tcPr>
          <w:p w14:paraId="4775C6D4" w14:textId="77777777" w:rsidR="008423E4" w:rsidRPr="00A8133F" w:rsidRDefault="007D09A0" w:rsidP="009F3C6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C599FD1" w14:textId="77777777" w:rsidR="008423E4" w:rsidRDefault="008423E4" w:rsidP="009F3C69"/>
          <w:p w14:paraId="60AE9877" w14:textId="1DCEB88D" w:rsidR="00EE6ED6" w:rsidRDefault="007D09A0" w:rsidP="009F3C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C67E68">
              <w:t>H.B. 2646 amends the Code of Criminal Procedure to require</w:t>
            </w:r>
            <w:r w:rsidR="00273BEC">
              <w:t xml:space="preserve"> </w:t>
            </w:r>
            <w:r w:rsidR="00FC7604">
              <w:t xml:space="preserve">a judgment </w:t>
            </w:r>
            <w:r w:rsidR="00FC7604" w:rsidRPr="00FC7604">
              <w:t xml:space="preserve">of </w:t>
            </w:r>
            <w:r w:rsidR="00273BEC">
              <w:t>a</w:t>
            </w:r>
            <w:r w:rsidR="002264AC">
              <w:t>n inmate</w:t>
            </w:r>
            <w:r w:rsidR="00FC7604">
              <w:t xml:space="preserve"> to reflect </w:t>
            </w:r>
            <w:r w:rsidR="00FC7604" w:rsidRPr="00FC7604">
              <w:t xml:space="preserve">the </w:t>
            </w:r>
            <w:r w:rsidR="002264AC">
              <w:t>inmate</w:t>
            </w:r>
            <w:r w:rsidR="00FC7604" w:rsidRPr="00FC7604">
              <w:t>'s right</w:t>
            </w:r>
            <w:r w:rsidR="00FC7604">
              <w:t xml:space="preserve"> to </w:t>
            </w:r>
            <w:r w:rsidR="00FC7604" w:rsidRPr="00FC7604">
              <w:t>defer payment of certain fines and court costs owed t</w:t>
            </w:r>
            <w:r w:rsidR="00FC7604">
              <w:t xml:space="preserve">o </w:t>
            </w:r>
            <w:r>
              <w:t>the state</w:t>
            </w:r>
            <w:r w:rsidR="00FC7604">
              <w:t xml:space="preserve">. The bill </w:t>
            </w:r>
            <w:r>
              <w:t xml:space="preserve">establishes that </w:t>
            </w:r>
            <w:r w:rsidR="00E26C24" w:rsidRPr="00E26C24">
              <w:t>a person sentenced to imprisonment in the Texas Department of Criminal Justice</w:t>
            </w:r>
            <w:r w:rsidR="00E26C24">
              <w:t xml:space="preserve"> (TDCJ) </w:t>
            </w:r>
            <w:r w:rsidR="00CF3052">
              <w:t xml:space="preserve">is not required </w:t>
            </w:r>
            <w:r w:rsidR="00E26C24">
              <w:t xml:space="preserve">to pay </w:t>
            </w:r>
            <w:r w:rsidR="00CF3052">
              <w:t xml:space="preserve">any </w:t>
            </w:r>
            <w:r w:rsidR="00E26C24">
              <w:t xml:space="preserve">fines or </w:t>
            </w:r>
            <w:r w:rsidR="00CF3052">
              <w:t xml:space="preserve">court </w:t>
            </w:r>
            <w:r w:rsidR="00E26C24">
              <w:t>costs</w:t>
            </w:r>
            <w:r>
              <w:t xml:space="preserve"> </w:t>
            </w:r>
            <w:r w:rsidR="00F821DB">
              <w:t xml:space="preserve">owed </w:t>
            </w:r>
            <w:r w:rsidR="00CF3052">
              <w:t>to the state as follows</w:t>
            </w:r>
            <w:r>
              <w:t>:</w:t>
            </w:r>
            <w:r w:rsidR="004F0B09">
              <w:t xml:space="preserve"> </w:t>
            </w:r>
          </w:p>
          <w:p w14:paraId="3D436194" w14:textId="4BED2077" w:rsidR="00EE6ED6" w:rsidRDefault="007D09A0" w:rsidP="009F3C6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during the term </w:t>
            </w:r>
            <w:r>
              <w:t xml:space="preserve">of imprisonment, including while confined in a county jail awaiting transfer to TDCJ; or </w:t>
            </w:r>
          </w:p>
          <w:p w14:paraId="4ECDE175" w14:textId="77777777" w:rsidR="00CF3052" w:rsidRDefault="007D09A0" w:rsidP="009F3C6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before the 181st day after the person's release: </w:t>
            </w:r>
          </w:p>
          <w:p w14:paraId="7EA46D86" w14:textId="63035E5A" w:rsidR="00CF3052" w:rsidRDefault="007D09A0" w:rsidP="009F3C69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on parole to mandatory supervision; or </w:t>
            </w:r>
          </w:p>
          <w:p w14:paraId="28D33E70" w14:textId="366FEB58" w:rsidR="00EE6ED6" w:rsidRDefault="007D09A0" w:rsidP="009F3C69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following </w:t>
            </w:r>
            <w:r w:rsidR="00E26C24">
              <w:t>completion of</w:t>
            </w:r>
            <w:r>
              <w:t xml:space="preserve"> the person's</w:t>
            </w:r>
            <w:r w:rsidR="00E26C24">
              <w:t xml:space="preserve"> sentence. </w:t>
            </w:r>
          </w:p>
          <w:p w14:paraId="1BECD3FD" w14:textId="7736B1A8" w:rsidR="002264AC" w:rsidRDefault="007D09A0" w:rsidP="009F3C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requires </w:t>
            </w:r>
            <w:r w:rsidR="00C062EB">
              <w:t xml:space="preserve">a </w:t>
            </w:r>
            <w:r>
              <w:t>person t</w:t>
            </w:r>
            <w:r>
              <w:t>o</w:t>
            </w:r>
            <w:r w:rsidR="0030318A">
              <w:t xml:space="preserve"> contact and enter into a payment plan with</w:t>
            </w:r>
            <w:r w:rsidR="00C062EB">
              <w:t xml:space="preserve"> the</w:t>
            </w:r>
            <w:r w:rsidR="0030318A">
              <w:t xml:space="preserve"> court clerk</w:t>
            </w:r>
            <w:r w:rsidRPr="00E26C24">
              <w:t xml:space="preserve"> in each jurisdiction where the person owes</w:t>
            </w:r>
            <w:r w:rsidR="00FC3917">
              <w:t xml:space="preserve"> </w:t>
            </w:r>
            <w:r w:rsidRPr="00E26C24">
              <w:t>fines or court costs</w:t>
            </w:r>
            <w:r w:rsidR="00C062EB">
              <w:t xml:space="preserve"> not later than </w:t>
            </w:r>
            <w:r w:rsidR="00C062EB" w:rsidRPr="002264AC">
              <w:t xml:space="preserve">the 30th day following </w:t>
            </w:r>
            <w:r w:rsidR="00C062EB">
              <w:t>r</w:t>
            </w:r>
            <w:r w:rsidR="00C062EB" w:rsidRPr="002264AC">
              <w:t>elease</w:t>
            </w:r>
            <w:r w:rsidR="00C062EB">
              <w:t xml:space="preserve"> on parole, mandatory supervision, or completion of </w:t>
            </w:r>
            <w:r w:rsidR="00CF3052">
              <w:t>the person's</w:t>
            </w:r>
            <w:r w:rsidR="00C062EB">
              <w:t xml:space="preserve"> sentence.</w:t>
            </w:r>
            <w:r w:rsidR="00FC3917">
              <w:t xml:space="preserve"> </w:t>
            </w:r>
            <w:r>
              <w:t xml:space="preserve">The </w:t>
            </w:r>
            <w:r w:rsidR="00CF3052">
              <w:t xml:space="preserve">bill's </w:t>
            </w:r>
            <w:r>
              <w:t xml:space="preserve">provisions </w:t>
            </w:r>
            <w:r w:rsidR="00CF3052">
              <w:t xml:space="preserve">relating to deferred payment while imprisoned in TDCJ or </w:t>
            </w:r>
            <w:r w:rsidR="00550D1E">
              <w:t xml:space="preserve">before the 181st day after a person's release </w:t>
            </w:r>
            <w:r>
              <w:t xml:space="preserve">do </w:t>
            </w:r>
            <w:r w:rsidRPr="00E26C24">
              <w:t>not apply to amounts owed for restitution or to amoun</w:t>
            </w:r>
            <w:r w:rsidRPr="00E26C24">
              <w:t>ts owed for supervision fees assessed as a condition of release.</w:t>
            </w:r>
          </w:p>
          <w:p w14:paraId="3279B0A5" w14:textId="77777777" w:rsidR="002264AC" w:rsidRDefault="002264AC" w:rsidP="009F3C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68A00FF" w14:textId="77777777" w:rsidR="008423E4" w:rsidRDefault="007D09A0" w:rsidP="009F3C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E26C24">
              <w:t xml:space="preserve">H.B. 2646 </w:t>
            </w:r>
            <w:r w:rsidR="00E26C24" w:rsidRPr="00E26C24">
              <w:t xml:space="preserve">applies to a defendant who is sentenced for an offense on or after the </w:t>
            </w:r>
            <w:r w:rsidR="00E26C24">
              <w:t xml:space="preserve">bill's </w:t>
            </w:r>
            <w:r w:rsidR="00E26C24" w:rsidRPr="00E26C24">
              <w:t>effective date</w:t>
            </w:r>
            <w:r w:rsidR="00EE6ED6">
              <w:t>, regardless of whether the offense is committed before, on, or after that date</w:t>
            </w:r>
            <w:r w:rsidR="00E26C24">
              <w:t>.</w:t>
            </w:r>
          </w:p>
          <w:p w14:paraId="7F1D7A28" w14:textId="65F15656" w:rsidR="00215AF5" w:rsidRPr="00835628" w:rsidRDefault="00215AF5" w:rsidP="009F3C6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0C663C" w14:paraId="58CAF43E" w14:textId="77777777" w:rsidTr="00A009DA">
        <w:tc>
          <w:tcPr>
            <w:tcW w:w="9360" w:type="dxa"/>
          </w:tcPr>
          <w:p w14:paraId="5AF142EC" w14:textId="7B765AAE" w:rsidR="008423E4" w:rsidRPr="00A8133F" w:rsidRDefault="007D09A0" w:rsidP="009F3C69">
            <w:pPr>
              <w:rPr>
                <w:b/>
              </w:rPr>
            </w:pPr>
            <w:r w:rsidRPr="009C1E9A">
              <w:rPr>
                <w:b/>
                <w:u w:val="single"/>
              </w:rPr>
              <w:t>E</w:t>
            </w:r>
            <w:r w:rsidRPr="009C1E9A">
              <w:rPr>
                <w:b/>
                <w:u w:val="single"/>
              </w:rPr>
              <w:t>FFECTIVE DATE</w:t>
            </w:r>
            <w:r>
              <w:rPr>
                <w:b/>
              </w:rPr>
              <w:t xml:space="preserve"> </w:t>
            </w:r>
          </w:p>
          <w:p w14:paraId="74A12EF3" w14:textId="77777777" w:rsidR="008423E4" w:rsidRDefault="008423E4" w:rsidP="009F3C69"/>
          <w:p w14:paraId="4CDA7E6E" w14:textId="77777777" w:rsidR="008423E4" w:rsidRDefault="007D09A0" w:rsidP="009F3C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20A8632" w14:textId="07EA9172" w:rsidR="00215AF5" w:rsidRPr="00233FDB" w:rsidRDefault="00215AF5" w:rsidP="009F3C6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0C663C" w14:paraId="467CB582" w14:textId="77777777" w:rsidTr="00A009DA">
        <w:tc>
          <w:tcPr>
            <w:tcW w:w="9360" w:type="dxa"/>
          </w:tcPr>
          <w:p w14:paraId="3BFAEEE2" w14:textId="77777777" w:rsidR="00ED70B3" w:rsidRDefault="007D09A0" w:rsidP="009F3C69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705B7E5" w14:textId="77777777" w:rsidR="00E95DDA" w:rsidRDefault="00E95DDA" w:rsidP="009F3C69">
            <w:pPr>
              <w:jc w:val="both"/>
            </w:pPr>
          </w:p>
          <w:p w14:paraId="36ECC4CD" w14:textId="084A6063" w:rsidR="00E95DDA" w:rsidRDefault="007D09A0" w:rsidP="009F3C69">
            <w:pPr>
              <w:jc w:val="both"/>
            </w:pPr>
            <w:r>
              <w:t>C.S.H.B. 2646 differs from the introduced in minor or nonsubstantive ways by conforming to certain bill drafting conventions</w:t>
            </w:r>
            <w:r w:rsidR="006173F3">
              <w:t>.</w:t>
            </w:r>
          </w:p>
          <w:p w14:paraId="683B5019" w14:textId="1671DD73" w:rsidR="00A009DA" w:rsidRPr="00ED70B3" w:rsidRDefault="00A009DA" w:rsidP="009F3C69">
            <w:pPr>
              <w:jc w:val="both"/>
              <w:rPr>
                <w:b/>
                <w:u w:val="single"/>
              </w:rPr>
            </w:pPr>
          </w:p>
        </w:tc>
      </w:tr>
    </w:tbl>
    <w:p w14:paraId="7D08E4AF" w14:textId="77777777" w:rsidR="008423E4" w:rsidRPr="00BE0E75" w:rsidRDefault="008423E4" w:rsidP="009F3C69">
      <w:pPr>
        <w:jc w:val="both"/>
        <w:rPr>
          <w:rFonts w:ascii="Arial" w:hAnsi="Arial"/>
          <w:sz w:val="16"/>
          <w:szCs w:val="16"/>
        </w:rPr>
      </w:pPr>
    </w:p>
    <w:p w14:paraId="5939F892" w14:textId="77777777" w:rsidR="004108C3" w:rsidRPr="008423E4" w:rsidRDefault="004108C3" w:rsidP="009F3C6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C07FF" w14:textId="77777777" w:rsidR="00000000" w:rsidRDefault="007D09A0">
      <w:r>
        <w:separator/>
      </w:r>
    </w:p>
  </w:endnote>
  <w:endnote w:type="continuationSeparator" w:id="0">
    <w:p w14:paraId="35E9DB74" w14:textId="77777777" w:rsidR="00000000" w:rsidRDefault="007D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7C5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C663C" w14:paraId="715E9455" w14:textId="77777777" w:rsidTr="009C1E9A">
      <w:trPr>
        <w:cantSplit/>
      </w:trPr>
      <w:tc>
        <w:tcPr>
          <w:tcW w:w="0" w:type="pct"/>
        </w:tcPr>
        <w:p w14:paraId="6E76F74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F9FBF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5443F8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645B6C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B817B2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C663C" w14:paraId="235000FC" w14:textId="77777777" w:rsidTr="009C1E9A">
      <w:trPr>
        <w:cantSplit/>
      </w:trPr>
      <w:tc>
        <w:tcPr>
          <w:tcW w:w="0" w:type="pct"/>
        </w:tcPr>
        <w:p w14:paraId="546D62C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37488A1" w14:textId="69FC3455" w:rsidR="00EC379B" w:rsidRPr="009C1E9A" w:rsidRDefault="007D09A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26533-D</w:t>
          </w:r>
        </w:p>
      </w:tc>
      <w:tc>
        <w:tcPr>
          <w:tcW w:w="2453" w:type="pct"/>
        </w:tcPr>
        <w:p w14:paraId="28AA2B68" w14:textId="54BEC683" w:rsidR="00EC379B" w:rsidRDefault="007D09A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83380">
            <w:t>23.117.2324</w:t>
          </w:r>
          <w:r>
            <w:fldChar w:fldCharType="end"/>
          </w:r>
        </w:p>
      </w:tc>
    </w:tr>
    <w:tr w:rsidR="000C663C" w14:paraId="2F94B13C" w14:textId="77777777" w:rsidTr="009C1E9A">
      <w:trPr>
        <w:cantSplit/>
      </w:trPr>
      <w:tc>
        <w:tcPr>
          <w:tcW w:w="0" w:type="pct"/>
        </w:tcPr>
        <w:p w14:paraId="4F4292F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80D229D" w14:textId="56A8149E" w:rsidR="00EC379B" w:rsidRPr="009C1E9A" w:rsidRDefault="007D09A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25591</w:t>
          </w:r>
        </w:p>
      </w:tc>
      <w:tc>
        <w:tcPr>
          <w:tcW w:w="2453" w:type="pct"/>
        </w:tcPr>
        <w:p w14:paraId="3AF5B7C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F991A5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C663C" w14:paraId="33F5BF5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66009A9" w14:textId="77777777" w:rsidR="00EC379B" w:rsidRDefault="007D09A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D5F817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5BB418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3F2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745A8" w14:textId="77777777" w:rsidR="00000000" w:rsidRDefault="007D09A0">
      <w:r>
        <w:separator/>
      </w:r>
    </w:p>
  </w:footnote>
  <w:footnote w:type="continuationSeparator" w:id="0">
    <w:p w14:paraId="3BA5686E" w14:textId="77777777" w:rsidR="00000000" w:rsidRDefault="007D0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916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2F1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A1E12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96312"/>
    <w:multiLevelType w:val="hybridMultilevel"/>
    <w:tmpl w:val="F4C01230"/>
    <w:lvl w:ilvl="0" w:tplc="5442D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045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866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6F1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0F4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E413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44B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041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B62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C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3C99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63C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6299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293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5D0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5AF5"/>
    <w:rsid w:val="00216BBA"/>
    <w:rsid w:val="00216E12"/>
    <w:rsid w:val="00217466"/>
    <w:rsid w:val="0021751D"/>
    <w:rsid w:val="00217C49"/>
    <w:rsid w:val="0022177D"/>
    <w:rsid w:val="002242DA"/>
    <w:rsid w:val="00224C37"/>
    <w:rsid w:val="002264AC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3BEC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18A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2807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06EB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76ED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B09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0D1E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3F3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1628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3380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1BF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4161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09A0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08C5"/>
    <w:rsid w:val="0098170E"/>
    <w:rsid w:val="0098285C"/>
    <w:rsid w:val="00983B56"/>
    <w:rsid w:val="009847FD"/>
    <w:rsid w:val="009851B3"/>
    <w:rsid w:val="00985300"/>
    <w:rsid w:val="00986720"/>
    <w:rsid w:val="00987F00"/>
    <w:rsid w:val="00993A67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40E2"/>
    <w:rsid w:val="009E69C2"/>
    <w:rsid w:val="009E70AF"/>
    <w:rsid w:val="009E7AEB"/>
    <w:rsid w:val="009F1B37"/>
    <w:rsid w:val="009F3C69"/>
    <w:rsid w:val="009F4B4A"/>
    <w:rsid w:val="009F4EB0"/>
    <w:rsid w:val="009F4F2B"/>
    <w:rsid w:val="009F513E"/>
    <w:rsid w:val="009F5802"/>
    <w:rsid w:val="009F64AE"/>
    <w:rsid w:val="00A0042D"/>
    <w:rsid w:val="00A0053A"/>
    <w:rsid w:val="00A009D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719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1ECA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62EB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7E68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3052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66B6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062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2AE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6C24"/>
    <w:rsid w:val="00E27E5A"/>
    <w:rsid w:val="00E31135"/>
    <w:rsid w:val="00E317BA"/>
    <w:rsid w:val="00E344F9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DDA"/>
    <w:rsid w:val="00E96852"/>
    <w:rsid w:val="00EA16AC"/>
    <w:rsid w:val="00EA385A"/>
    <w:rsid w:val="00EA3931"/>
    <w:rsid w:val="00EA4244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0B3"/>
    <w:rsid w:val="00ED783A"/>
    <w:rsid w:val="00EE2E34"/>
    <w:rsid w:val="00EE2E91"/>
    <w:rsid w:val="00EE3370"/>
    <w:rsid w:val="00EE43A2"/>
    <w:rsid w:val="00EE46B7"/>
    <w:rsid w:val="00EE5A49"/>
    <w:rsid w:val="00EE664B"/>
    <w:rsid w:val="00EE6ED6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1DB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3917"/>
    <w:rsid w:val="00FC5388"/>
    <w:rsid w:val="00FC726C"/>
    <w:rsid w:val="00FC7604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28CE2C-6B82-47FC-A15E-86B4E149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264A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64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64A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6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64AC"/>
    <w:rPr>
      <w:b/>
      <w:bCs/>
    </w:rPr>
  </w:style>
  <w:style w:type="paragraph" w:styleId="Revision">
    <w:name w:val="Revision"/>
    <w:hidden/>
    <w:uiPriority w:val="99"/>
    <w:semiHidden/>
    <w:rsid w:val="00E95D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2632</Characters>
  <Application>Microsoft Office Word</Application>
  <DocSecurity>4</DocSecurity>
  <Lines>67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HB02646 (Committee Report (Substituted))</vt:lpstr>
    </vt:vector>
  </TitlesOfParts>
  <Company>State of Texas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26533</dc:subject>
  <dc:creator>State of Texas</dc:creator>
  <dc:description>HB 2646 by Johnson, Jarvis-(H)Corrections (Substitute Document Number: 88R 25591)</dc:description>
  <cp:lastModifiedBy>Matthew Lee</cp:lastModifiedBy>
  <cp:revision>2</cp:revision>
  <cp:lastPrinted>2003-11-26T17:21:00Z</cp:lastPrinted>
  <dcterms:created xsi:type="dcterms:W3CDTF">2023-05-03T21:40:00Z</dcterms:created>
  <dcterms:modified xsi:type="dcterms:W3CDTF">2023-05-03T21:40:00Z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23.117.2324</vt:lpwstr>
  </property>
</Properties>
</file>