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85BB9" w14:paraId="0DF2CC52" w14:textId="77777777" w:rsidTr="00345119">
        <w:tc>
          <w:tcPr>
            <w:tcW w:w="9576" w:type="dxa"/>
            <w:noWrap/>
          </w:tcPr>
          <w:p w14:paraId="4C345020" w14:textId="77777777" w:rsidR="008423E4" w:rsidRPr="0022177D" w:rsidRDefault="009F1E92" w:rsidP="004A3AD1">
            <w:pPr>
              <w:pStyle w:val="Heading1"/>
            </w:pPr>
            <w:r w:rsidRPr="00631897">
              <w:t>BILL ANALYSIS</w:t>
            </w:r>
          </w:p>
        </w:tc>
      </w:tr>
    </w:tbl>
    <w:p w14:paraId="36952075" w14:textId="77777777" w:rsidR="008423E4" w:rsidRPr="0022177D" w:rsidRDefault="008423E4" w:rsidP="004A3AD1">
      <w:pPr>
        <w:jc w:val="center"/>
      </w:pPr>
    </w:p>
    <w:p w14:paraId="120B0AF6" w14:textId="77777777" w:rsidR="008423E4" w:rsidRPr="00B31F0E" w:rsidRDefault="008423E4" w:rsidP="004A3AD1"/>
    <w:p w14:paraId="4CB04CC5" w14:textId="77777777" w:rsidR="008423E4" w:rsidRPr="00742794" w:rsidRDefault="008423E4" w:rsidP="004A3AD1">
      <w:pPr>
        <w:tabs>
          <w:tab w:val="right" w:pos="9360"/>
        </w:tabs>
      </w:pPr>
    </w:p>
    <w:tbl>
      <w:tblPr>
        <w:tblW w:w="0" w:type="auto"/>
        <w:tblLayout w:type="fixed"/>
        <w:tblLook w:val="01E0" w:firstRow="1" w:lastRow="1" w:firstColumn="1" w:lastColumn="1" w:noHBand="0" w:noVBand="0"/>
      </w:tblPr>
      <w:tblGrid>
        <w:gridCol w:w="9576"/>
      </w:tblGrid>
      <w:tr w:rsidR="00C85BB9" w14:paraId="54090EA3" w14:textId="77777777" w:rsidTr="00345119">
        <w:tc>
          <w:tcPr>
            <w:tcW w:w="9576" w:type="dxa"/>
          </w:tcPr>
          <w:p w14:paraId="227DED65" w14:textId="55C0F15F" w:rsidR="008423E4" w:rsidRPr="00861995" w:rsidRDefault="009F1E92" w:rsidP="004A3AD1">
            <w:pPr>
              <w:jc w:val="right"/>
            </w:pPr>
            <w:r>
              <w:t>H.B. 2687</w:t>
            </w:r>
          </w:p>
        </w:tc>
      </w:tr>
      <w:tr w:rsidR="00C85BB9" w14:paraId="1D05CEB7" w14:textId="77777777" w:rsidTr="00345119">
        <w:tc>
          <w:tcPr>
            <w:tcW w:w="9576" w:type="dxa"/>
          </w:tcPr>
          <w:p w14:paraId="7A835FF9" w14:textId="391323F4" w:rsidR="008423E4" w:rsidRPr="00861995" w:rsidRDefault="009F1E92" w:rsidP="004A3AD1">
            <w:pPr>
              <w:jc w:val="right"/>
            </w:pPr>
            <w:r>
              <w:t xml:space="preserve">By: </w:t>
            </w:r>
            <w:r w:rsidR="004327C7">
              <w:t>Leach</w:t>
            </w:r>
          </w:p>
        </w:tc>
      </w:tr>
      <w:tr w:rsidR="00C85BB9" w14:paraId="369E14A7" w14:textId="77777777" w:rsidTr="00345119">
        <w:tc>
          <w:tcPr>
            <w:tcW w:w="9576" w:type="dxa"/>
          </w:tcPr>
          <w:p w14:paraId="02D814AE" w14:textId="1D304072" w:rsidR="008423E4" w:rsidRPr="00861995" w:rsidRDefault="009F1E92" w:rsidP="004A3AD1">
            <w:pPr>
              <w:jc w:val="right"/>
            </w:pPr>
            <w:r>
              <w:t>Youth Health &amp; Safety, Select</w:t>
            </w:r>
          </w:p>
        </w:tc>
      </w:tr>
      <w:tr w:rsidR="00C85BB9" w14:paraId="19B3FB86" w14:textId="77777777" w:rsidTr="00345119">
        <w:tc>
          <w:tcPr>
            <w:tcW w:w="9576" w:type="dxa"/>
          </w:tcPr>
          <w:p w14:paraId="698B2269" w14:textId="7CF1418B" w:rsidR="008423E4" w:rsidRDefault="009F1E92" w:rsidP="004A3AD1">
            <w:pPr>
              <w:jc w:val="right"/>
            </w:pPr>
            <w:r>
              <w:t>Committee Report (Unamended)</w:t>
            </w:r>
          </w:p>
        </w:tc>
      </w:tr>
    </w:tbl>
    <w:p w14:paraId="28C5144E" w14:textId="77777777" w:rsidR="008423E4" w:rsidRDefault="008423E4" w:rsidP="004A3AD1">
      <w:pPr>
        <w:tabs>
          <w:tab w:val="right" w:pos="9360"/>
        </w:tabs>
      </w:pPr>
    </w:p>
    <w:p w14:paraId="2BA8B8E6" w14:textId="77777777" w:rsidR="008423E4" w:rsidRDefault="008423E4" w:rsidP="004A3AD1"/>
    <w:p w14:paraId="02CA0AC1" w14:textId="77777777" w:rsidR="008423E4" w:rsidRDefault="008423E4" w:rsidP="004A3AD1"/>
    <w:tbl>
      <w:tblPr>
        <w:tblW w:w="0" w:type="auto"/>
        <w:tblCellMar>
          <w:left w:w="115" w:type="dxa"/>
          <w:right w:w="115" w:type="dxa"/>
        </w:tblCellMar>
        <w:tblLook w:val="01E0" w:firstRow="1" w:lastRow="1" w:firstColumn="1" w:lastColumn="1" w:noHBand="0" w:noVBand="0"/>
      </w:tblPr>
      <w:tblGrid>
        <w:gridCol w:w="9360"/>
      </w:tblGrid>
      <w:tr w:rsidR="00C85BB9" w14:paraId="43A64AF3" w14:textId="77777777" w:rsidTr="00345119">
        <w:tc>
          <w:tcPr>
            <w:tcW w:w="9576" w:type="dxa"/>
          </w:tcPr>
          <w:p w14:paraId="1C0B2E43" w14:textId="77777777" w:rsidR="008423E4" w:rsidRPr="00A8133F" w:rsidRDefault="009F1E92" w:rsidP="004A3AD1">
            <w:pPr>
              <w:rPr>
                <w:b/>
              </w:rPr>
            </w:pPr>
            <w:r w:rsidRPr="009C1E9A">
              <w:rPr>
                <w:b/>
                <w:u w:val="single"/>
              </w:rPr>
              <w:t>BACKGROUND AND PURPOSE</w:t>
            </w:r>
            <w:r>
              <w:rPr>
                <w:b/>
              </w:rPr>
              <w:t xml:space="preserve"> </w:t>
            </w:r>
          </w:p>
          <w:p w14:paraId="73FA70E5" w14:textId="77777777" w:rsidR="008423E4" w:rsidRDefault="008423E4" w:rsidP="004A3AD1"/>
          <w:p w14:paraId="2369471C" w14:textId="5EDFF3BE" w:rsidR="00357F22" w:rsidRPr="004A3AD1" w:rsidRDefault="009F1E92" w:rsidP="004A3AD1">
            <w:pPr>
              <w:jc w:val="both"/>
              <w:rPr>
                <w:shd w:val="clear" w:color="auto" w:fill="FFFFFF"/>
              </w:rPr>
            </w:pPr>
            <w:r w:rsidRPr="002B7E85">
              <w:t xml:space="preserve">In </w:t>
            </w:r>
            <w:r w:rsidR="00EA5C28" w:rsidRPr="002B7E85">
              <w:t>juvenile justice cases,</w:t>
            </w:r>
            <w:r w:rsidRPr="002B7E85">
              <w:t xml:space="preserve"> the state handles children who have </w:t>
            </w:r>
            <w:r w:rsidR="00EA5C28" w:rsidRPr="002B7E85">
              <w:t xml:space="preserve">experienced </w:t>
            </w:r>
            <w:r w:rsidRPr="002B7E85">
              <w:t xml:space="preserve">trauma, </w:t>
            </w:r>
            <w:r w:rsidR="00EA5C28" w:rsidRPr="002B7E85">
              <w:t xml:space="preserve">who are subject to </w:t>
            </w:r>
            <w:r w:rsidRPr="002B7E85">
              <w:t xml:space="preserve">circumstances outside of their control, and whose brains have not finished developing in ways to evaluate logic, risk, and consequences. </w:t>
            </w:r>
            <w:r w:rsidR="009F2E34" w:rsidRPr="004A3AD1">
              <w:rPr>
                <w:shd w:val="clear" w:color="auto" w:fill="FFFFFF"/>
              </w:rPr>
              <w:t xml:space="preserve">According to the </w:t>
            </w:r>
            <w:r w:rsidR="00194709" w:rsidRPr="004A3AD1">
              <w:rPr>
                <w:shd w:val="clear" w:color="auto" w:fill="FFFFFF"/>
              </w:rPr>
              <w:t xml:space="preserve">National </w:t>
            </w:r>
            <w:r w:rsidR="00AA23A3" w:rsidRPr="004A3AD1">
              <w:rPr>
                <w:shd w:val="clear" w:color="auto" w:fill="FFFFFF"/>
              </w:rPr>
              <w:t>Governors Association,</w:t>
            </w:r>
            <w:r w:rsidR="00194709" w:rsidRPr="004A3AD1">
              <w:rPr>
                <w:shd w:val="clear" w:color="auto" w:fill="FFFFFF"/>
              </w:rPr>
              <w:t xml:space="preserve"> </w:t>
            </w:r>
            <w:r w:rsidR="00AA23A3" w:rsidRPr="004A3AD1">
              <w:rPr>
                <w:shd w:val="clear" w:color="auto" w:fill="FFFFFF"/>
              </w:rPr>
              <w:t xml:space="preserve">recent </w:t>
            </w:r>
            <w:r w:rsidR="00194709" w:rsidRPr="004A3AD1">
              <w:rPr>
                <w:shd w:val="clear" w:color="auto" w:fill="FFFFFF"/>
              </w:rPr>
              <w:t xml:space="preserve">research </w:t>
            </w:r>
            <w:r w:rsidRPr="004A3AD1">
              <w:rPr>
                <w:shd w:val="clear" w:color="auto" w:fill="FFFFFF"/>
              </w:rPr>
              <w:t>on adolescent brain development shows that the human b</w:t>
            </w:r>
            <w:r w:rsidRPr="004A3AD1">
              <w:rPr>
                <w:shd w:val="clear" w:color="auto" w:fill="FFFFFF"/>
              </w:rPr>
              <w:t>rain continues to develop and mature throughout adolescence, even into the 20s. Compared with adults, youth and young adults are more susceptible to negative peer influences and are more likely to overreact to situations. Further, in many instances, youths</w:t>
            </w:r>
            <w:r w:rsidRPr="004A3AD1">
              <w:rPr>
                <w:shd w:val="clear" w:color="auto" w:fill="FFFFFF"/>
              </w:rPr>
              <w:t xml:space="preserve"> are dealing with serious traumas</w:t>
            </w:r>
            <w:r w:rsidR="00AA23A3" w:rsidRPr="004A3AD1">
              <w:rPr>
                <w:shd w:val="clear" w:color="auto" w:fill="FFFFFF"/>
              </w:rPr>
              <w:t>, and t</w:t>
            </w:r>
            <w:r w:rsidRPr="004A3AD1">
              <w:rPr>
                <w:shd w:val="clear" w:color="auto" w:fill="FFFFFF"/>
              </w:rPr>
              <w:t xml:space="preserve">he juvenile justice system is </w:t>
            </w:r>
            <w:r w:rsidR="00AA23A3" w:rsidRPr="004A3AD1">
              <w:rPr>
                <w:shd w:val="clear" w:color="auto" w:fill="FFFFFF"/>
              </w:rPr>
              <w:t xml:space="preserve">often </w:t>
            </w:r>
            <w:r w:rsidRPr="004A3AD1">
              <w:rPr>
                <w:shd w:val="clear" w:color="auto" w:fill="FFFFFF"/>
              </w:rPr>
              <w:t xml:space="preserve">not the system best equipped to handle and address these children. Additionally, having a mark on their records due to offenses conducted during youth </w:t>
            </w:r>
            <w:r w:rsidR="00AA23A3" w:rsidRPr="004A3AD1">
              <w:rPr>
                <w:shd w:val="clear" w:color="auto" w:fill="FFFFFF"/>
              </w:rPr>
              <w:t xml:space="preserve">may </w:t>
            </w:r>
            <w:r w:rsidRPr="004A3AD1">
              <w:rPr>
                <w:shd w:val="clear" w:color="auto" w:fill="FFFFFF"/>
              </w:rPr>
              <w:t>permanently and negativel</w:t>
            </w:r>
            <w:r w:rsidRPr="004A3AD1">
              <w:rPr>
                <w:shd w:val="clear" w:color="auto" w:fill="FFFFFF"/>
              </w:rPr>
              <w:t xml:space="preserve">y impact their futures and prevent them from being productive citizens of their communities or fulfilling their capacities. </w:t>
            </w:r>
            <w:r w:rsidR="00AA23A3" w:rsidRPr="004A3AD1">
              <w:rPr>
                <w:shd w:val="clear" w:color="auto" w:fill="FFFFFF"/>
              </w:rPr>
              <w:t>A</w:t>
            </w:r>
            <w:r w:rsidRPr="004A3AD1">
              <w:rPr>
                <w:shd w:val="clear" w:color="auto" w:fill="FFFFFF"/>
              </w:rPr>
              <w:t>ddress</w:t>
            </w:r>
            <w:r w:rsidR="00140672" w:rsidRPr="004A3AD1">
              <w:rPr>
                <w:shd w:val="clear" w:color="auto" w:fill="FFFFFF"/>
              </w:rPr>
              <w:t>ing</w:t>
            </w:r>
            <w:r w:rsidRPr="004A3AD1">
              <w:rPr>
                <w:shd w:val="clear" w:color="auto" w:fill="FFFFFF"/>
              </w:rPr>
              <w:t xml:space="preserve"> these children while they are still children</w:t>
            </w:r>
            <w:r w:rsidR="00AA23A3" w:rsidRPr="004A3AD1">
              <w:rPr>
                <w:shd w:val="clear" w:color="auto" w:fill="FFFFFF"/>
              </w:rPr>
              <w:t xml:space="preserve"> could greatly</w:t>
            </w:r>
            <w:r w:rsidRPr="004A3AD1">
              <w:rPr>
                <w:shd w:val="clear" w:color="auto" w:fill="FFFFFF"/>
              </w:rPr>
              <w:t xml:space="preserve"> increase their chances of becoming productive members of society that go on to lead long and happy lives. </w:t>
            </w:r>
          </w:p>
          <w:p w14:paraId="079083B2" w14:textId="77777777" w:rsidR="00136CEE" w:rsidRPr="00D75129" w:rsidRDefault="00136CEE" w:rsidP="004A3AD1">
            <w:pPr>
              <w:jc w:val="both"/>
            </w:pPr>
          </w:p>
          <w:p w14:paraId="690134E4" w14:textId="58F18353" w:rsidR="00136CEE" w:rsidRPr="00D75129" w:rsidRDefault="009F1E92" w:rsidP="004A3AD1">
            <w:pPr>
              <w:jc w:val="both"/>
            </w:pPr>
            <w:r>
              <w:t>Therefore, t</w:t>
            </w:r>
            <w:r w:rsidR="00357F22" w:rsidRPr="00D75129">
              <w:t>he presumption should be that children age</w:t>
            </w:r>
            <w:r w:rsidR="00EA5C28">
              <w:t>s 10 through 12</w:t>
            </w:r>
            <w:r w:rsidR="00357F22" w:rsidRPr="00D75129">
              <w:t xml:space="preserve"> </w:t>
            </w:r>
            <w:r w:rsidR="00EA5C28">
              <w:t xml:space="preserve">would best be served through </w:t>
            </w:r>
            <w:r w:rsidR="00357F22" w:rsidRPr="00D75129">
              <w:t>referr</w:t>
            </w:r>
            <w:r w:rsidR="00EA5C28">
              <w:t>al</w:t>
            </w:r>
            <w:r w:rsidR="00357F22" w:rsidRPr="00D75129">
              <w:t xml:space="preserve"> to the services that they need in their communities rather than </w:t>
            </w:r>
            <w:r w:rsidR="009F2E34">
              <w:t xml:space="preserve">in </w:t>
            </w:r>
            <w:r w:rsidR="00357F22" w:rsidRPr="00D75129">
              <w:t xml:space="preserve">Texas Juvenile Justice Department facilities. </w:t>
            </w:r>
            <w:r w:rsidR="00EA5C28">
              <w:t>H.B.</w:t>
            </w:r>
            <w:r w:rsidR="00783FF0">
              <w:t> </w:t>
            </w:r>
            <w:r w:rsidR="00EA5C28">
              <w:t>2687 seeks to raise the minimum age at which a person is considered a child under the juvenile justice code from 10 to 13</w:t>
            </w:r>
            <w:r>
              <w:t>,</w:t>
            </w:r>
            <w:r w:rsidR="00D20727">
              <w:t xml:space="preserve"> but provides for the applicability of </w:t>
            </w:r>
            <w:r w:rsidR="00D34D3C">
              <w:t xml:space="preserve">the </w:t>
            </w:r>
            <w:r w:rsidR="00D20727">
              <w:t xml:space="preserve">juvenile justice code to a </w:t>
            </w:r>
            <w:r w:rsidR="00357F22" w:rsidRPr="00D75129">
              <w:t xml:space="preserve">child </w:t>
            </w:r>
            <w:r w:rsidR="00D20727">
              <w:t>who</w:t>
            </w:r>
            <w:r w:rsidR="00357F22" w:rsidRPr="00D75129">
              <w:t xml:space="preserve"> commits </w:t>
            </w:r>
            <w:r w:rsidR="00D20727">
              <w:t xml:space="preserve">certain </w:t>
            </w:r>
            <w:r w:rsidR="00357F22" w:rsidRPr="00D75129">
              <w:t xml:space="preserve">violent </w:t>
            </w:r>
            <w:r w:rsidR="00D20727">
              <w:t>or</w:t>
            </w:r>
            <w:r w:rsidR="00357F22" w:rsidRPr="00D75129">
              <w:t xml:space="preserve"> serious </w:t>
            </w:r>
            <w:r w:rsidR="00D20727">
              <w:t>offenses.</w:t>
            </w:r>
            <w:r w:rsidR="00357F22" w:rsidRPr="00D75129">
              <w:t xml:space="preserve"> </w:t>
            </w:r>
            <w:r w:rsidR="009F17C7">
              <w:t xml:space="preserve">The bill provides for </w:t>
            </w:r>
            <w:r w:rsidR="00357F22" w:rsidRPr="00D75129">
              <w:t xml:space="preserve">a </w:t>
            </w:r>
            <w:r w:rsidR="009F17C7">
              <w:t xml:space="preserve">juvenile </w:t>
            </w:r>
            <w:r w:rsidR="00357F22" w:rsidRPr="00D75129">
              <w:t>court</w:t>
            </w:r>
            <w:r w:rsidR="009F17C7">
              <w:t xml:space="preserve">'s waiver of </w:t>
            </w:r>
            <w:r w:rsidR="00357F22" w:rsidRPr="00D75129">
              <w:t>jurisdiction</w:t>
            </w:r>
            <w:r w:rsidR="009F17C7">
              <w:t xml:space="preserve"> and sets out requisite consideration</w:t>
            </w:r>
            <w:r w:rsidR="00D34D3C">
              <w:t>s</w:t>
            </w:r>
            <w:r w:rsidR="009F17C7">
              <w:t xml:space="preserve"> </w:t>
            </w:r>
            <w:r w:rsidR="00D34D3C">
              <w:t>for</w:t>
            </w:r>
            <w:r w:rsidR="009F17C7">
              <w:t xml:space="preserve"> the court relating to the waiver. </w:t>
            </w:r>
            <w:r w:rsidR="00357F22" w:rsidRPr="00D75129">
              <w:t xml:space="preserve"> </w:t>
            </w:r>
          </w:p>
          <w:p w14:paraId="01A21FB0" w14:textId="77777777" w:rsidR="008423E4" w:rsidRPr="00E26B13" w:rsidRDefault="008423E4" w:rsidP="004A3AD1">
            <w:pPr>
              <w:jc w:val="both"/>
              <w:rPr>
                <w:b/>
              </w:rPr>
            </w:pPr>
          </w:p>
        </w:tc>
      </w:tr>
      <w:tr w:rsidR="00C85BB9" w14:paraId="7F59BF79" w14:textId="77777777" w:rsidTr="00345119">
        <w:tc>
          <w:tcPr>
            <w:tcW w:w="9576" w:type="dxa"/>
          </w:tcPr>
          <w:p w14:paraId="5D9625F7" w14:textId="77777777" w:rsidR="0017725B" w:rsidRDefault="009F1E92" w:rsidP="004A3AD1">
            <w:pPr>
              <w:rPr>
                <w:b/>
                <w:u w:val="single"/>
              </w:rPr>
            </w:pPr>
            <w:r>
              <w:rPr>
                <w:b/>
                <w:u w:val="single"/>
              </w:rPr>
              <w:t>CRIMINAL JUSTICE IMPACT</w:t>
            </w:r>
          </w:p>
          <w:p w14:paraId="643B6A4B" w14:textId="77777777" w:rsidR="0017725B" w:rsidRDefault="0017725B" w:rsidP="004A3AD1">
            <w:pPr>
              <w:rPr>
                <w:b/>
                <w:u w:val="single"/>
              </w:rPr>
            </w:pPr>
          </w:p>
          <w:p w14:paraId="035786F3" w14:textId="4FE0D292" w:rsidR="00791ADD" w:rsidRPr="00791ADD" w:rsidRDefault="009F1E92" w:rsidP="004A3AD1">
            <w:pPr>
              <w:jc w:val="both"/>
            </w:pPr>
            <w:r>
              <w:t>It is the committ</w:t>
            </w:r>
            <w:r>
              <w:t>ee's opinion that this bill does not expressly create a criminal offense, increase the punishment for an existing criminal offense or category of offenses, or change the eligibility of a person for community supervision, parole, or mandatory supervision.</w:t>
            </w:r>
          </w:p>
          <w:p w14:paraId="2C1A130E" w14:textId="77777777" w:rsidR="0017725B" w:rsidRPr="0017725B" w:rsidRDefault="0017725B" w:rsidP="004A3AD1">
            <w:pPr>
              <w:rPr>
                <w:b/>
                <w:u w:val="single"/>
              </w:rPr>
            </w:pPr>
          </w:p>
        </w:tc>
      </w:tr>
      <w:tr w:rsidR="00C85BB9" w14:paraId="39F4CFA5" w14:textId="77777777" w:rsidTr="00345119">
        <w:tc>
          <w:tcPr>
            <w:tcW w:w="9576" w:type="dxa"/>
          </w:tcPr>
          <w:p w14:paraId="3113786C" w14:textId="77777777" w:rsidR="008423E4" w:rsidRPr="00A8133F" w:rsidRDefault="009F1E92" w:rsidP="004A3AD1">
            <w:pPr>
              <w:rPr>
                <w:b/>
              </w:rPr>
            </w:pPr>
            <w:r w:rsidRPr="009C1E9A">
              <w:rPr>
                <w:b/>
                <w:u w:val="single"/>
              </w:rPr>
              <w:t>RULEMAKING AUTHORITY</w:t>
            </w:r>
            <w:r>
              <w:rPr>
                <w:b/>
              </w:rPr>
              <w:t xml:space="preserve"> </w:t>
            </w:r>
          </w:p>
          <w:p w14:paraId="52FF9DA0" w14:textId="77777777" w:rsidR="008423E4" w:rsidRDefault="008423E4" w:rsidP="004A3AD1"/>
          <w:p w14:paraId="2CF380D3" w14:textId="14A1DCD9" w:rsidR="00791ADD" w:rsidRDefault="009F1E92" w:rsidP="004A3AD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5FB04D1" w14:textId="77777777" w:rsidR="008423E4" w:rsidRPr="00E21FDC" w:rsidRDefault="008423E4" w:rsidP="004A3AD1">
            <w:pPr>
              <w:rPr>
                <w:b/>
              </w:rPr>
            </w:pPr>
          </w:p>
        </w:tc>
      </w:tr>
      <w:tr w:rsidR="00C85BB9" w14:paraId="266F5132" w14:textId="77777777" w:rsidTr="00345119">
        <w:tc>
          <w:tcPr>
            <w:tcW w:w="9576" w:type="dxa"/>
          </w:tcPr>
          <w:p w14:paraId="7FCEC162" w14:textId="77777777" w:rsidR="008423E4" w:rsidRPr="00A8133F" w:rsidRDefault="009F1E92" w:rsidP="004A3AD1">
            <w:pPr>
              <w:rPr>
                <w:b/>
              </w:rPr>
            </w:pPr>
            <w:r w:rsidRPr="009C1E9A">
              <w:rPr>
                <w:b/>
                <w:u w:val="single"/>
              </w:rPr>
              <w:t>ANALYSIS</w:t>
            </w:r>
            <w:r>
              <w:rPr>
                <w:b/>
              </w:rPr>
              <w:t xml:space="preserve"> </w:t>
            </w:r>
          </w:p>
          <w:p w14:paraId="39DDC1A4" w14:textId="77777777" w:rsidR="008423E4" w:rsidRDefault="008423E4" w:rsidP="004A3AD1"/>
          <w:p w14:paraId="59BC1F89" w14:textId="7CC32796" w:rsidR="000170F6" w:rsidRDefault="009F1E92" w:rsidP="004A3AD1">
            <w:pPr>
              <w:pStyle w:val="Header"/>
              <w:tabs>
                <w:tab w:val="clear" w:pos="4320"/>
                <w:tab w:val="clear" w:pos="8640"/>
              </w:tabs>
              <w:jc w:val="both"/>
            </w:pPr>
            <w:r>
              <w:t xml:space="preserve">H.B. 2687 </w:t>
            </w:r>
            <w:r w:rsidR="00D42B08">
              <w:t xml:space="preserve">amends the </w:t>
            </w:r>
            <w:r w:rsidR="00D42B08" w:rsidRPr="00D42B08">
              <w:t>Family Code</w:t>
            </w:r>
            <w:r w:rsidR="00D42B08">
              <w:t xml:space="preserve"> to </w:t>
            </w:r>
            <w:r w:rsidR="00AF10BD">
              <w:t>rais</w:t>
            </w:r>
            <w:r>
              <w:t xml:space="preserve">e the minimum age at which </w:t>
            </w:r>
            <w:r w:rsidR="00D42B08">
              <w:t xml:space="preserve">a </w:t>
            </w:r>
            <w:r w:rsidR="00FD6F09">
              <w:t xml:space="preserve">person </w:t>
            </w:r>
            <w:r>
              <w:t xml:space="preserve">is considered a child under the juvenile justice code </w:t>
            </w:r>
            <w:r w:rsidR="001E3D0E">
              <w:t xml:space="preserve">from 10 to 13 </w:t>
            </w:r>
            <w:r>
              <w:t>and</w:t>
            </w:r>
            <w:r w:rsidR="001E3D0E">
              <w:t xml:space="preserve"> to also</w:t>
            </w:r>
            <w:r>
              <w:t xml:space="preserve"> include within </w:t>
            </w:r>
            <w:r w:rsidR="00844F30">
              <w:t>th</w:t>
            </w:r>
            <w:r w:rsidR="00BD4220">
              <w:t>at</w:t>
            </w:r>
            <w:r w:rsidR="00D5765D">
              <w:t xml:space="preserve"> definition of "child"</w:t>
            </w:r>
            <w:r>
              <w:t xml:space="preserve"> </w:t>
            </w:r>
            <w:r w:rsidR="00D42B08">
              <w:t>a person</w:t>
            </w:r>
            <w:r w:rsidR="004F6BC1">
              <w:t xml:space="preserve"> who is</w:t>
            </w:r>
            <w:r w:rsidR="00D42B08">
              <w:t xml:space="preserve"> 10 years of age or older and under 13 years of age who is alleged or found to have engaged in conduct </w:t>
            </w:r>
            <w:r w:rsidR="00EC6295">
              <w:t>containing</w:t>
            </w:r>
            <w:r>
              <w:t xml:space="preserve"> </w:t>
            </w:r>
            <w:r w:rsidR="001E3D0E">
              <w:t>the</w:t>
            </w:r>
            <w:r>
              <w:t xml:space="preserve"> </w:t>
            </w:r>
            <w:r w:rsidR="00D42B08">
              <w:t>elements of</w:t>
            </w:r>
            <w:r w:rsidR="001E3D0E">
              <w:t xml:space="preserve"> any of</w:t>
            </w:r>
            <w:r w:rsidR="00D42B08">
              <w:t xml:space="preserve"> </w:t>
            </w:r>
            <w:r>
              <w:t>the following</w:t>
            </w:r>
            <w:r w:rsidR="00D42B08">
              <w:t xml:space="preserve"> offenses</w:t>
            </w:r>
            <w:r>
              <w:t>:</w:t>
            </w:r>
          </w:p>
          <w:p w14:paraId="587F1519" w14:textId="2988B304" w:rsidR="000170F6" w:rsidRDefault="009F1E92" w:rsidP="004A3AD1">
            <w:pPr>
              <w:pStyle w:val="Header"/>
              <w:numPr>
                <w:ilvl w:val="0"/>
                <w:numId w:val="2"/>
              </w:numPr>
              <w:tabs>
                <w:tab w:val="clear" w:pos="4320"/>
                <w:tab w:val="clear" w:pos="8640"/>
              </w:tabs>
              <w:jc w:val="both"/>
            </w:pPr>
            <w:r>
              <w:t>aggravated assault, sexual assault, or aggravated sexual assault;</w:t>
            </w:r>
          </w:p>
          <w:p w14:paraId="72600C51" w14:textId="43E704B2" w:rsidR="00BF3C40" w:rsidRDefault="009F1E92" w:rsidP="004A3AD1">
            <w:pPr>
              <w:pStyle w:val="Header"/>
              <w:numPr>
                <w:ilvl w:val="0"/>
                <w:numId w:val="2"/>
              </w:numPr>
              <w:tabs>
                <w:tab w:val="clear" w:pos="4320"/>
                <w:tab w:val="clear" w:pos="8640"/>
              </w:tabs>
              <w:jc w:val="both"/>
            </w:pPr>
            <w:r>
              <w:t>arson;</w:t>
            </w:r>
          </w:p>
          <w:p w14:paraId="08472D75" w14:textId="2B3C28DA" w:rsidR="00BF3C40" w:rsidRDefault="009F1E92" w:rsidP="004A3AD1">
            <w:pPr>
              <w:pStyle w:val="Header"/>
              <w:numPr>
                <w:ilvl w:val="0"/>
                <w:numId w:val="2"/>
              </w:numPr>
              <w:tabs>
                <w:tab w:val="clear" w:pos="4320"/>
                <w:tab w:val="clear" w:pos="8640"/>
              </w:tabs>
              <w:jc w:val="both"/>
            </w:pPr>
            <w:r>
              <w:t>murder, capital murder, or criminal attempt to commit murder or capital murder;</w:t>
            </w:r>
          </w:p>
          <w:p w14:paraId="3DF7ED91" w14:textId="21F3C019" w:rsidR="00BF3C40" w:rsidRDefault="009F1E92" w:rsidP="004A3AD1">
            <w:pPr>
              <w:pStyle w:val="Header"/>
              <w:numPr>
                <w:ilvl w:val="0"/>
                <w:numId w:val="2"/>
              </w:numPr>
              <w:tabs>
                <w:tab w:val="clear" w:pos="4320"/>
                <w:tab w:val="clear" w:pos="8640"/>
              </w:tabs>
              <w:jc w:val="both"/>
            </w:pPr>
            <w:r>
              <w:t>indecency with a child;</w:t>
            </w:r>
          </w:p>
          <w:p w14:paraId="06448780" w14:textId="4F4539A9" w:rsidR="00BF3C40" w:rsidRDefault="009F1E92" w:rsidP="004A3AD1">
            <w:pPr>
              <w:pStyle w:val="Header"/>
              <w:numPr>
                <w:ilvl w:val="0"/>
                <w:numId w:val="2"/>
              </w:numPr>
              <w:tabs>
                <w:tab w:val="clear" w:pos="4320"/>
                <w:tab w:val="clear" w:pos="8640"/>
              </w:tabs>
              <w:jc w:val="both"/>
            </w:pPr>
            <w:r>
              <w:t>a</w:t>
            </w:r>
            <w:r>
              <w:t>ggravated kidnapping</w:t>
            </w:r>
            <w:r w:rsidR="008B3D2C">
              <w:t>;</w:t>
            </w:r>
          </w:p>
          <w:p w14:paraId="4F63BCBA" w14:textId="350C8396" w:rsidR="00BF3C40" w:rsidRDefault="009F1E92" w:rsidP="004A3AD1">
            <w:pPr>
              <w:pStyle w:val="Header"/>
              <w:numPr>
                <w:ilvl w:val="0"/>
                <w:numId w:val="2"/>
              </w:numPr>
              <w:tabs>
                <w:tab w:val="clear" w:pos="4320"/>
                <w:tab w:val="clear" w:pos="8640"/>
              </w:tabs>
              <w:jc w:val="both"/>
            </w:pPr>
            <w:r>
              <w:t>aggravated robbery;</w:t>
            </w:r>
          </w:p>
          <w:p w14:paraId="3C20F0BA" w14:textId="6ECAC2D6" w:rsidR="00BF3C40" w:rsidRDefault="009F1E92" w:rsidP="004A3AD1">
            <w:pPr>
              <w:pStyle w:val="Header"/>
              <w:numPr>
                <w:ilvl w:val="0"/>
                <w:numId w:val="2"/>
              </w:numPr>
              <w:tabs>
                <w:tab w:val="clear" w:pos="4320"/>
                <w:tab w:val="clear" w:pos="8640"/>
              </w:tabs>
              <w:jc w:val="both"/>
            </w:pPr>
            <w:r>
              <w:t>manslaughter</w:t>
            </w:r>
            <w:r w:rsidR="008B3D2C">
              <w:t>;</w:t>
            </w:r>
          </w:p>
          <w:p w14:paraId="39097EF5" w14:textId="14ED93C5" w:rsidR="00BF3C40" w:rsidRDefault="009F1E92" w:rsidP="004A3AD1">
            <w:pPr>
              <w:pStyle w:val="Header"/>
              <w:numPr>
                <w:ilvl w:val="0"/>
                <w:numId w:val="2"/>
              </w:numPr>
              <w:tabs>
                <w:tab w:val="clear" w:pos="4320"/>
                <w:tab w:val="clear" w:pos="8640"/>
              </w:tabs>
              <w:jc w:val="both"/>
            </w:pPr>
            <w:r>
              <w:t>criminally negligent homicide; or</w:t>
            </w:r>
          </w:p>
          <w:p w14:paraId="794A9B65" w14:textId="0A25A30F" w:rsidR="00BF3C40" w:rsidRDefault="009F1E92" w:rsidP="004A3AD1">
            <w:pPr>
              <w:pStyle w:val="Header"/>
              <w:numPr>
                <w:ilvl w:val="0"/>
                <w:numId w:val="2"/>
              </w:numPr>
              <w:tabs>
                <w:tab w:val="clear" w:pos="4320"/>
                <w:tab w:val="clear" w:pos="8640"/>
              </w:tabs>
              <w:jc w:val="both"/>
            </w:pPr>
            <w:r>
              <w:t xml:space="preserve">continuous sexual abuse of </w:t>
            </w:r>
            <w:r w:rsidR="001E3D0E">
              <w:t xml:space="preserve">a </w:t>
            </w:r>
            <w:r>
              <w:t>young child or disabled individual.</w:t>
            </w:r>
          </w:p>
          <w:p w14:paraId="2CE90DE3" w14:textId="2014A58E" w:rsidR="00EC6295" w:rsidRDefault="00EC6295" w:rsidP="004A3AD1">
            <w:pPr>
              <w:pStyle w:val="Header"/>
              <w:tabs>
                <w:tab w:val="clear" w:pos="4320"/>
                <w:tab w:val="clear" w:pos="8640"/>
              </w:tabs>
              <w:jc w:val="both"/>
            </w:pPr>
          </w:p>
          <w:p w14:paraId="48F274B8" w14:textId="095C5F8F" w:rsidR="00FF2B86" w:rsidRDefault="009F1E92" w:rsidP="004A3AD1">
            <w:pPr>
              <w:pStyle w:val="Header"/>
              <w:jc w:val="both"/>
            </w:pPr>
            <w:r>
              <w:t>H.B. 2687</w:t>
            </w:r>
            <w:r w:rsidR="00FD6F09">
              <w:t xml:space="preserve"> requires </w:t>
            </w:r>
            <w:r w:rsidR="001E3D0E">
              <w:t xml:space="preserve">a </w:t>
            </w:r>
            <w:r w:rsidR="00FD6F09">
              <w:t>juvenile court</w:t>
            </w:r>
            <w:r w:rsidR="008B3D2C">
              <w:t xml:space="preserve">, </w:t>
            </w:r>
            <w:r w:rsidR="001E3D0E">
              <w:t>before holding</w:t>
            </w:r>
            <w:r w:rsidR="008B3D2C">
              <w:t xml:space="preserve"> an adjudication hearing,</w:t>
            </w:r>
            <w:r w:rsidR="00FD6F09">
              <w:t xml:space="preserve"> to hold a hearing </w:t>
            </w:r>
            <w:r w:rsidR="00FD6F09" w:rsidRPr="00FD6F09">
              <w:t>without a jury</w:t>
            </w:r>
            <w:r w:rsidR="0095756D">
              <w:t xml:space="preserve"> </w:t>
            </w:r>
            <w:r w:rsidR="00FD6F09" w:rsidRPr="00FD6F09">
              <w:t>to determine whether to waive its exclusive original jurisdiction over a child under 13 years of age</w:t>
            </w:r>
            <w:r w:rsidR="0095756D">
              <w:t xml:space="preserve">. The bill requires </w:t>
            </w:r>
            <w:r w:rsidR="0095756D" w:rsidRPr="0095756D">
              <w:t xml:space="preserve">the </w:t>
            </w:r>
            <w:r w:rsidR="0095756D">
              <w:t>court</w:t>
            </w:r>
            <w:r w:rsidR="001D66BF">
              <w:t xml:space="preserve"> at such a hearing</w:t>
            </w:r>
            <w:r w:rsidR="0095756D">
              <w:t xml:space="preserve"> </w:t>
            </w:r>
            <w:r w:rsidR="00FD6F09">
              <w:t>to consider whether less restrictive interventions</w:t>
            </w:r>
            <w:r w:rsidR="001E3D0E">
              <w:t xml:space="preserve"> by the child's parent, guardian, family, or school, or by child protective services or county family and youth services,</w:t>
            </w:r>
            <w:r w:rsidR="00FD6F09">
              <w:t xml:space="preserve"> are available and </w:t>
            </w:r>
            <w:r w:rsidR="007F703C">
              <w:t xml:space="preserve">will be </w:t>
            </w:r>
            <w:r w:rsidR="00FD6F09">
              <w:t xml:space="preserve">sufficient to ensure the safety of the public and the child, </w:t>
            </w:r>
            <w:r w:rsidR="001D66BF">
              <w:t xml:space="preserve">whether </w:t>
            </w:r>
            <w:r w:rsidR="007F703C">
              <w:t xml:space="preserve">the court's </w:t>
            </w:r>
            <w:r w:rsidR="00FD6F09">
              <w:t>intervention is warranted, and</w:t>
            </w:r>
            <w:r w:rsidR="001D66BF">
              <w:t xml:space="preserve"> whether</w:t>
            </w:r>
            <w:r w:rsidR="00FD6F09">
              <w:t xml:space="preserve"> it is in the </w:t>
            </w:r>
            <w:r w:rsidR="007F703C">
              <w:t xml:space="preserve">child's </w:t>
            </w:r>
            <w:r w:rsidR="00FD6F09">
              <w:t xml:space="preserve">best interest for the court to intervene. </w:t>
            </w:r>
            <w:r w:rsidR="001D66BF">
              <w:t>The bill</w:t>
            </w:r>
            <w:r w:rsidR="006A12DA">
              <w:t xml:space="preserve"> requires the court</w:t>
            </w:r>
            <w:r w:rsidR="001D66BF">
              <w:t>, as applicable,</w:t>
            </w:r>
            <w:r w:rsidR="006A12DA">
              <w:t xml:space="preserve"> to state </w:t>
            </w:r>
            <w:r w:rsidR="007F703C">
              <w:t xml:space="preserve">in the order </w:t>
            </w:r>
            <w:r w:rsidR="006A12DA">
              <w:t>the reason</w:t>
            </w:r>
            <w:r w:rsidR="00D849D6">
              <w:t>s</w:t>
            </w:r>
            <w:r w:rsidR="006A12DA">
              <w:t xml:space="preserve"> for electing not to waive its jurisdiction over a child in </w:t>
            </w:r>
            <w:r w:rsidR="007F703C">
              <w:t>such a hearing</w:t>
            </w:r>
            <w:r w:rsidR="006E143B">
              <w:t>,</w:t>
            </w:r>
            <w:r w:rsidR="001D66BF">
              <w:t xml:space="preserve"> or</w:t>
            </w:r>
            <w:r w:rsidR="006A12DA">
              <w:t xml:space="preserve"> </w:t>
            </w:r>
            <w:r w:rsidR="006E143B">
              <w:t xml:space="preserve">if the court elects to waive its jurisdiction over the child, </w:t>
            </w:r>
            <w:r w:rsidR="006A12DA">
              <w:t>to dismiss all charges against the child</w:t>
            </w:r>
            <w:r w:rsidR="001D66BF">
              <w:t xml:space="preserve"> and</w:t>
            </w:r>
            <w:r w:rsidR="006A12DA">
              <w:t xml:space="preserve"> refer the child to the person who conducted the preliminary investigation of the child </w:t>
            </w:r>
            <w:r w:rsidR="001C3149">
              <w:t xml:space="preserve">for a referral for </w:t>
            </w:r>
            <w:r w:rsidR="0095756D" w:rsidRPr="0095756D">
              <w:t xml:space="preserve">applicable </w:t>
            </w:r>
            <w:r w:rsidR="001C3149">
              <w:t>services</w:t>
            </w:r>
            <w:r w:rsidR="000C181B">
              <w:t>, as appropriate</w:t>
            </w:r>
            <w:r w:rsidR="001C3149">
              <w:t xml:space="preserve">. </w:t>
            </w:r>
          </w:p>
          <w:p w14:paraId="1D787309" w14:textId="77777777" w:rsidR="00FF2B86" w:rsidRDefault="00FF2B86" w:rsidP="004A3AD1">
            <w:pPr>
              <w:pStyle w:val="Header"/>
              <w:jc w:val="both"/>
            </w:pPr>
          </w:p>
          <w:p w14:paraId="6740E3CF" w14:textId="682CABBE" w:rsidR="00791ADD" w:rsidRDefault="009F1E92" w:rsidP="004A3AD1">
            <w:pPr>
              <w:pStyle w:val="Header"/>
              <w:jc w:val="both"/>
            </w:pPr>
            <w:r>
              <w:t xml:space="preserve">H.B. 2687 </w:t>
            </w:r>
            <w:r w:rsidR="001C3149">
              <w:t xml:space="preserve">applies </w:t>
            </w:r>
            <w:r w:rsidR="001C3149" w:rsidRPr="001C3149">
              <w:t xml:space="preserve">only to an offense committed or conduct that occurs on or after the </w:t>
            </w:r>
            <w:r w:rsidR="001C3149">
              <w:t xml:space="preserve">bill's </w:t>
            </w:r>
            <w:r w:rsidR="001C3149" w:rsidRPr="001C3149">
              <w:t>effective date</w:t>
            </w:r>
            <w:r w:rsidR="001C3149">
              <w:t>.</w:t>
            </w:r>
            <w:r w:rsidR="006E143B">
              <w:t xml:space="preserve"> </w:t>
            </w:r>
            <w:r w:rsidR="006E143B" w:rsidRPr="006E143B">
              <w:t>The bill provides for the continuation of the law in effect before the bill's effective date for purposes of an offense</w:t>
            </w:r>
            <w:r>
              <w:t xml:space="preserve"> or conduct</w:t>
            </w:r>
            <w:r w:rsidR="006E143B" w:rsidRPr="006E143B">
              <w:t>, or any element thereof, that occurred before that date.</w:t>
            </w:r>
          </w:p>
          <w:p w14:paraId="29EA8EA6" w14:textId="77777777" w:rsidR="008423E4" w:rsidRPr="00835628" w:rsidRDefault="008423E4" w:rsidP="004A3AD1">
            <w:pPr>
              <w:pStyle w:val="Header"/>
              <w:tabs>
                <w:tab w:val="clear" w:pos="4320"/>
                <w:tab w:val="clear" w:pos="8640"/>
              </w:tabs>
              <w:jc w:val="both"/>
              <w:rPr>
                <w:b/>
              </w:rPr>
            </w:pPr>
          </w:p>
        </w:tc>
      </w:tr>
      <w:tr w:rsidR="00C85BB9" w14:paraId="0501FBF4" w14:textId="77777777" w:rsidTr="00345119">
        <w:tc>
          <w:tcPr>
            <w:tcW w:w="9576" w:type="dxa"/>
          </w:tcPr>
          <w:p w14:paraId="178AAB4E" w14:textId="77777777" w:rsidR="008423E4" w:rsidRPr="00A8133F" w:rsidRDefault="009F1E92" w:rsidP="004A3AD1">
            <w:pPr>
              <w:rPr>
                <w:b/>
              </w:rPr>
            </w:pPr>
            <w:r w:rsidRPr="009C1E9A">
              <w:rPr>
                <w:b/>
                <w:u w:val="single"/>
              </w:rPr>
              <w:t>EFFECTIVE DATE</w:t>
            </w:r>
            <w:r>
              <w:rPr>
                <w:b/>
              </w:rPr>
              <w:t xml:space="preserve"> </w:t>
            </w:r>
          </w:p>
          <w:p w14:paraId="3DDA9565" w14:textId="77777777" w:rsidR="008423E4" w:rsidRDefault="008423E4" w:rsidP="004A3AD1"/>
          <w:p w14:paraId="05A2172A" w14:textId="5CC45BF0" w:rsidR="008423E4" w:rsidRPr="003624F2" w:rsidRDefault="009F1E92" w:rsidP="004A3AD1">
            <w:pPr>
              <w:pStyle w:val="Header"/>
              <w:tabs>
                <w:tab w:val="clear" w:pos="4320"/>
                <w:tab w:val="clear" w:pos="8640"/>
              </w:tabs>
              <w:jc w:val="both"/>
            </w:pPr>
            <w:r>
              <w:t>September 1, 2023.</w:t>
            </w:r>
          </w:p>
          <w:p w14:paraId="365F6712" w14:textId="77777777" w:rsidR="008423E4" w:rsidRPr="00233FDB" w:rsidRDefault="008423E4" w:rsidP="004A3AD1">
            <w:pPr>
              <w:rPr>
                <w:b/>
              </w:rPr>
            </w:pPr>
          </w:p>
        </w:tc>
      </w:tr>
    </w:tbl>
    <w:p w14:paraId="7528A05D" w14:textId="77777777" w:rsidR="004108C3" w:rsidRPr="008423E4" w:rsidRDefault="004108C3" w:rsidP="004A3AD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1C4C" w14:textId="77777777" w:rsidR="00000000" w:rsidRDefault="009F1E92">
      <w:r>
        <w:separator/>
      </w:r>
    </w:p>
  </w:endnote>
  <w:endnote w:type="continuationSeparator" w:id="0">
    <w:p w14:paraId="227573F4" w14:textId="77777777" w:rsidR="00000000" w:rsidRDefault="009F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855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85BB9" w14:paraId="64A12BDD" w14:textId="77777777" w:rsidTr="009C1E9A">
      <w:trPr>
        <w:cantSplit/>
      </w:trPr>
      <w:tc>
        <w:tcPr>
          <w:tcW w:w="0" w:type="pct"/>
        </w:tcPr>
        <w:p w14:paraId="2E69209A" w14:textId="77777777" w:rsidR="00137D90" w:rsidRDefault="00137D90" w:rsidP="009C1E9A">
          <w:pPr>
            <w:pStyle w:val="Footer"/>
            <w:tabs>
              <w:tab w:val="clear" w:pos="8640"/>
              <w:tab w:val="right" w:pos="9360"/>
            </w:tabs>
          </w:pPr>
        </w:p>
      </w:tc>
      <w:tc>
        <w:tcPr>
          <w:tcW w:w="2395" w:type="pct"/>
        </w:tcPr>
        <w:p w14:paraId="12149009" w14:textId="77777777" w:rsidR="00137D90" w:rsidRDefault="00137D90" w:rsidP="009C1E9A">
          <w:pPr>
            <w:pStyle w:val="Footer"/>
            <w:tabs>
              <w:tab w:val="clear" w:pos="8640"/>
              <w:tab w:val="right" w:pos="9360"/>
            </w:tabs>
          </w:pPr>
        </w:p>
        <w:p w14:paraId="39E665D0" w14:textId="77777777" w:rsidR="001A4310" w:rsidRDefault="001A4310" w:rsidP="009C1E9A">
          <w:pPr>
            <w:pStyle w:val="Footer"/>
            <w:tabs>
              <w:tab w:val="clear" w:pos="8640"/>
              <w:tab w:val="right" w:pos="9360"/>
            </w:tabs>
          </w:pPr>
        </w:p>
        <w:p w14:paraId="56DCAD69" w14:textId="77777777" w:rsidR="00137D90" w:rsidRDefault="00137D90" w:rsidP="009C1E9A">
          <w:pPr>
            <w:pStyle w:val="Footer"/>
            <w:tabs>
              <w:tab w:val="clear" w:pos="8640"/>
              <w:tab w:val="right" w:pos="9360"/>
            </w:tabs>
          </w:pPr>
        </w:p>
      </w:tc>
      <w:tc>
        <w:tcPr>
          <w:tcW w:w="2453" w:type="pct"/>
        </w:tcPr>
        <w:p w14:paraId="6AF56E9B" w14:textId="77777777" w:rsidR="00137D90" w:rsidRDefault="00137D90" w:rsidP="009C1E9A">
          <w:pPr>
            <w:pStyle w:val="Footer"/>
            <w:tabs>
              <w:tab w:val="clear" w:pos="8640"/>
              <w:tab w:val="right" w:pos="9360"/>
            </w:tabs>
            <w:jc w:val="right"/>
          </w:pPr>
        </w:p>
      </w:tc>
    </w:tr>
    <w:tr w:rsidR="00C85BB9" w14:paraId="24A9C5F9" w14:textId="77777777" w:rsidTr="009C1E9A">
      <w:trPr>
        <w:cantSplit/>
      </w:trPr>
      <w:tc>
        <w:tcPr>
          <w:tcW w:w="0" w:type="pct"/>
        </w:tcPr>
        <w:p w14:paraId="161CAB5C" w14:textId="77777777" w:rsidR="00EC379B" w:rsidRDefault="00EC379B" w:rsidP="009C1E9A">
          <w:pPr>
            <w:pStyle w:val="Footer"/>
            <w:tabs>
              <w:tab w:val="clear" w:pos="8640"/>
              <w:tab w:val="right" w:pos="9360"/>
            </w:tabs>
          </w:pPr>
        </w:p>
      </w:tc>
      <w:tc>
        <w:tcPr>
          <w:tcW w:w="2395" w:type="pct"/>
        </w:tcPr>
        <w:p w14:paraId="64E69560" w14:textId="7F38CD2F" w:rsidR="00EC379B" w:rsidRPr="009C1E9A" w:rsidRDefault="009F1E92" w:rsidP="009C1E9A">
          <w:pPr>
            <w:pStyle w:val="Footer"/>
            <w:tabs>
              <w:tab w:val="clear" w:pos="8640"/>
              <w:tab w:val="right" w:pos="9360"/>
            </w:tabs>
            <w:rPr>
              <w:rFonts w:ascii="Shruti" w:hAnsi="Shruti"/>
              <w:sz w:val="22"/>
            </w:rPr>
          </w:pPr>
          <w:r>
            <w:rPr>
              <w:rFonts w:ascii="Shruti" w:hAnsi="Shruti"/>
              <w:sz w:val="22"/>
            </w:rPr>
            <w:t>88R 22246-D</w:t>
          </w:r>
        </w:p>
      </w:tc>
      <w:tc>
        <w:tcPr>
          <w:tcW w:w="2453" w:type="pct"/>
        </w:tcPr>
        <w:p w14:paraId="7CFD8379" w14:textId="4447EB2F" w:rsidR="00EC379B" w:rsidRDefault="009F1E92" w:rsidP="009C1E9A">
          <w:pPr>
            <w:pStyle w:val="Footer"/>
            <w:tabs>
              <w:tab w:val="clear" w:pos="8640"/>
              <w:tab w:val="right" w:pos="9360"/>
            </w:tabs>
            <w:jc w:val="right"/>
          </w:pPr>
          <w:r>
            <w:fldChar w:fldCharType="begin"/>
          </w:r>
          <w:r>
            <w:instrText xml:space="preserve"> DOCPROPERTY  OTID  \* MERGEFORMAT </w:instrText>
          </w:r>
          <w:r>
            <w:fldChar w:fldCharType="separate"/>
          </w:r>
          <w:r w:rsidR="00F6022D">
            <w:t>23.95.2044</w:t>
          </w:r>
          <w:r>
            <w:fldChar w:fldCharType="end"/>
          </w:r>
        </w:p>
      </w:tc>
    </w:tr>
    <w:tr w:rsidR="00C85BB9" w14:paraId="1EE4DBB4" w14:textId="77777777" w:rsidTr="009C1E9A">
      <w:trPr>
        <w:cantSplit/>
      </w:trPr>
      <w:tc>
        <w:tcPr>
          <w:tcW w:w="0" w:type="pct"/>
        </w:tcPr>
        <w:p w14:paraId="201CB59B" w14:textId="77777777" w:rsidR="00EC379B" w:rsidRDefault="00EC379B" w:rsidP="009C1E9A">
          <w:pPr>
            <w:pStyle w:val="Footer"/>
            <w:tabs>
              <w:tab w:val="clear" w:pos="4320"/>
              <w:tab w:val="clear" w:pos="8640"/>
              <w:tab w:val="left" w:pos="2865"/>
            </w:tabs>
          </w:pPr>
        </w:p>
      </w:tc>
      <w:tc>
        <w:tcPr>
          <w:tcW w:w="2395" w:type="pct"/>
        </w:tcPr>
        <w:p w14:paraId="086FAE1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F7747DB" w14:textId="77777777" w:rsidR="00EC379B" w:rsidRDefault="00EC379B" w:rsidP="006D504F">
          <w:pPr>
            <w:pStyle w:val="Footer"/>
            <w:rPr>
              <w:rStyle w:val="PageNumber"/>
            </w:rPr>
          </w:pPr>
        </w:p>
        <w:p w14:paraId="5E0C74AC" w14:textId="77777777" w:rsidR="00EC379B" w:rsidRDefault="00EC379B" w:rsidP="009C1E9A">
          <w:pPr>
            <w:pStyle w:val="Footer"/>
            <w:tabs>
              <w:tab w:val="clear" w:pos="8640"/>
              <w:tab w:val="right" w:pos="9360"/>
            </w:tabs>
            <w:jc w:val="right"/>
          </w:pPr>
        </w:p>
      </w:tc>
    </w:tr>
    <w:tr w:rsidR="00C85BB9" w14:paraId="6370A87C" w14:textId="77777777" w:rsidTr="009C1E9A">
      <w:trPr>
        <w:cantSplit/>
        <w:trHeight w:val="323"/>
      </w:trPr>
      <w:tc>
        <w:tcPr>
          <w:tcW w:w="0" w:type="pct"/>
          <w:gridSpan w:val="3"/>
        </w:tcPr>
        <w:p w14:paraId="4CCD4D79" w14:textId="77777777" w:rsidR="00EC379B" w:rsidRDefault="009F1E9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2206ED" w14:textId="77777777" w:rsidR="00EC379B" w:rsidRDefault="00EC379B" w:rsidP="009C1E9A">
          <w:pPr>
            <w:pStyle w:val="Footer"/>
            <w:tabs>
              <w:tab w:val="clear" w:pos="8640"/>
              <w:tab w:val="right" w:pos="9360"/>
            </w:tabs>
            <w:jc w:val="center"/>
          </w:pPr>
        </w:p>
      </w:tc>
    </w:tr>
  </w:tbl>
  <w:p w14:paraId="73FC769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295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36B9" w14:textId="77777777" w:rsidR="00000000" w:rsidRDefault="009F1E92">
      <w:r>
        <w:separator/>
      </w:r>
    </w:p>
  </w:footnote>
  <w:footnote w:type="continuationSeparator" w:id="0">
    <w:p w14:paraId="2B4E0A3C" w14:textId="77777777" w:rsidR="00000000" w:rsidRDefault="009F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003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28C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D4B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50E8B"/>
    <w:multiLevelType w:val="hybridMultilevel"/>
    <w:tmpl w:val="30EC42B4"/>
    <w:lvl w:ilvl="0" w:tplc="4B5C8F10">
      <w:start w:val="1"/>
      <w:numFmt w:val="bullet"/>
      <w:lvlText w:val=""/>
      <w:lvlJc w:val="left"/>
      <w:pPr>
        <w:tabs>
          <w:tab w:val="num" w:pos="720"/>
        </w:tabs>
        <w:ind w:left="720" w:hanging="360"/>
      </w:pPr>
      <w:rPr>
        <w:rFonts w:ascii="Symbol" w:hAnsi="Symbol" w:hint="default"/>
      </w:rPr>
    </w:lvl>
    <w:lvl w:ilvl="1" w:tplc="D564E918" w:tentative="1">
      <w:start w:val="1"/>
      <w:numFmt w:val="bullet"/>
      <w:lvlText w:val="o"/>
      <w:lvlJc w:val="left"/>
      <w:pPr>
        <w:ind w:left="1440" w:hanging="360"/>
      </w:pPr>
      <w:rPr>
        <w:rFonts w:ascii="Courier New" w:hAnsi="Courier New" w:cs="Courier New" w:hint="default"/>
      </w:rPr>
    </w:lvl>
    <w:lvl w:ilvl="2" w:tplc="BF26BE54" w:tentative="1">
      <w:start w:val="1"/>
      <w:numFmt w:val="bullet"/>
      <w:lvlText w:val=""/>
      <w:lvlJc w:val="left"/>
      <w:pPr>
        <w:ind w:left="2160" w:hanging="360"/>
      </w:pPr>
      <w:rPr>
        <w:rFonts w:ascii="Wingdings" w:hAnsi="Wingdings" w:hint="default"/>
      </w:rPr>
    </w:lvl>
    <w:lvl w:ilvl="3" w:tplc="3032432E" w:tentative="1">
      <w:start w:val="1"/>
      <w:numFmt w:val="bullet"/>
      <w:lvlText w:val=""/>
      <w:lvlJc w:val="left"/>
      <w:pPr>
        <w:ind w:left="2880" w:hanging="360"/>
      </w:pPr>
      <w:rPr>
        <w:rFonts w:ascii="Symbol" w:hAnsi="Symbol" w:hint="default"/>
      </w:rPr>
    </w:lvl>
    <w:lvl w:ilvl="4" w:tplc="8A66DE3C" w:tentative="1">
      <w:start w:val="1"/>
      <w:numFmt w:val="bullet"/>
      <w:lvlText w:val="o"/>
      <w:lvlJc w:val="left"/>
      <w:pPr>
        <w:ind w:left="3600" w:hanging="360"/>
      </w:pPr>
      <w:rPr>
        <w:rFonts w:ascii="Courier New" w:hAnsi="Courier New" w:cs="Courier New" w:hint="default"/>
      </w:rPr>
    </w:lvl>
    <w:lvl w:ilvl="5" w:tplc="58FAFEE2" w:tentative="1">
      <w:start w:val="1"/>
      <w:numFmt w:val="bullet"/>
      <w:lvlText w:val=""/>
      <w:lvlJc w:val="left"/>
      <w:pPr>
        <w:ind w:left="4320" w:hanging="360"/>
      </w:pPr>
      <w:rPr>
        <w:rFonts w:ascii="Wingdings" w:hAnsi="Wingdings" w:hint="default"/>
      </w:rPr>
    </w:lvl>
    <w:lvl w:ilvl="6" w:tplc="C7769526" w:tentative="1">
      <w:start w:val="1"/>
      <w:numFmt w:val="bullet"/>
      <w:lvlText w:val=""/>
      <w:lvlJc w:val="left"/>
      <w:pPr>
        <w:ind w:left="5040" w:hanging="360"/>
      </w:pPr>
      <w:rPr>
        <w:rFonts w:ascii="Symbol" w:hAnsi="Symbol" w:hint="default"/>
      </w:rPr>
    </w:lvl>
    <w:lvl w:ilvl="7" w:tplc="4F503F6E" w:tentative="1">
      <w:start w:val="1"/>
      <w:numFmt w:val="bullet"/>
      <w:lvlText w:val="o"/>
      <w:lvlJc w:val="left"/>
      <w:pPr>
        <w:ind w:left="5760" w:hanging="360"/>
      </w:pPr>
      <w:rPr>
        <w:rFonts w:ascii="Courier New" w:hAnsi="Courier New" w:cs="Courier New" w:hint="default"/>
      </w:rPr>
    </w:lvl>
    <w:lvl w:ilvl="8" w:tplc="E65E6534" w:tentative="1">
      <w:start w:val="1"/>
      <w:numFmt w:val="bullet"/>
      <w:lvlText w:val=""/>
      <w:lvlJc w:val="left"/>
      <w:pPr>
        <w:ind w:left="6480" w:hanging="360"/>
      </w:pPr>
      <w:rPr>
        <w:rFonts w:ascii="Wingdings" w:hAnsi="Wingdings" w:hint="default"/>
      </w:rPr>
    </w:lvl>
  </w:abstractNum>
  <w:abstractNum w:abstractNumId="1" w15:restartNumberingAfterBreak="0">
    <w:nsid w:val="71255780"/>
    <w:multiLevelType w:val="hybridMultilevel"/>
    <w:tmpl w:val="10920FD8"/>
    <w:lvl w:ilvl="0" w:tplc="2D405B64">
      <w:start w:val="1"/>
      <w:numFmt w:val="bullet"/>
      <w:lvlText w:val=""/>
      <w:lvlJc w:val="left"/>
      <w:pPr>
        <w:tabs>
          <w:tab w:val="num" w:pos="720"/>
        </w:tabs>
        <w:ind w:left="720" w:hanging="360"/>
      </w:pPr>
      <w:rPr>
        <w:rFonts w:ascii="Symbol" w:hAnsi="Symbol" w:hint="default"/>
      </w:rPr>
    </w:lvl>
    <w:lvl w:ilvl="1" w:tplc="6EEAAAFE" w:tentative="1">
      <w:start w:val="1"/>
      <w:numFmt w:val="bullet"/>
      <w:lvlText w:val="o"/>
      <w:lvlJc w:val="left"/>
      <w:pPr>
        <w:ind w:left="1440" w:hanging="360"/>
      </w:pPr>
      <w:rPr>
        <w:rFonts w:ascii="Courier New" w:hAnsi="Courier New" w:cs="Courier New" w:hint="default"/>
      </w:rPr>
    </w:lvl>
    <w:lvl w:ilvl="2" w:tplc="604E0A62" w:tentative="1">
      <w:start w:val="1"/>
      <w:numFmt w:val="bullet"/>
      <w:lvlText w:val=""/>
      <w:lvlJc w:val="left"/>
      <w:pPr>
        <w:ind w:left="2160" w:hanging="360"/>
      </w:pPr>
      <w:rPr>
        <w:rFonts w:ascii="Wingdings" w:hAnsi="Wingdings" w:hint="default"/>
      </w:rPr>
    </w:lvl>
    <w:lvl w:ilvl="3" w:tplc="AE9AC3AA" w:tentative="1">
      <w:start w:val="1"/>
      <w:numFmt w:val="bullet"/>
      <w:lvlText w:val=""/>
      <w:lvlJc w:val="left"/>
      <w:pPr>
        <w:ind w:left="2880" w:hanging="360"/>
      </w:pPr>
      <w:rPr>
        <w:rFonts w:ascii="Symbol" w:hAnsi="Symbol" w:hint="default"/>
      </w:rPr>
    </w:lvl>
    <w:lvl w:ilvl="4" w:tplc="027462F8" w:tentative="1">
      <w:start w:val="1"/>
      <w:numFmt w:val="bullet"/>
      <w:lvlText w:val="o"/>
      <w:lvlJc w:val="left"/>
      <w:pPr>
        <w:ind w:left="3600" w:hanging="360"/>
      </w:pPr>
      <w:rPr>
        <w:rFonts w:ascii="Courier New" w:hAnsi="Courier New" w:cs="Courier New" w:hint="default"/>
      </w:rPr>
    </w:lvl>
    <w:lvl w:ilvl="5" w:tplc="46302F7A" w:tentative="1">
      <w:start w:val="1"/>
      <w:numFmt w:val="bullet"/>
      <w:lvlText w:val=""/>
      <w:lvlJc w:val="left"/>
      <w:pPr>
        <w:ind w:left="4320" w:hanging="360"/>
      </w:pPr>
      <w:rPr>
        <w:rFonts w:ascii="Wingdings" w:hAnsi="Wingdings" w:hint="default"/>
      </w:rPr>
    </w:lvl>
    <w:lvl w:ilvl="6" w:tplc="C19ADE98" w:tentative="1">
      <w:start w:val="1"/>
      <w:numFmt w:val="bullet"/>
      <w:lvlText w:val=""/>
      <w:lvlJc w:val="left"/>
      <w:pPr>
        <w:ind w:left="5040" w:hanging="360"/>
      </w:pPr>
      <w:rPr>
        <w:rFonts w:ascii="Symbol" w:hAnsi="Symbol" w:hint="default"/>
      </w:rPr>
    </w:lvl>
    <w:lvl w:ilvl="7" w:tplc="04FA2E32" w:tentative="1">
      <w:start w:val="1"/>
      <w:numFmt w:val="bullet"/>
      <w:lvlText w:val="o"/>
      <w:lvlJc w:val="left"/>
      <w:pPr>
        <w:ind w:left="5760" w:hanging="360"/>
      </w:pPr>
      <w:rPr>
        <w:rFonts w:ascii="Courier New" w:hAnsi="Courier New" w:cs="Courier New" w:hint="default"/>
      </w:rPr>
    </w:lvl>
    <w:lvl w:ilvl="8" w:tplc="A3A0CF4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DD"/>
    <w:rsid w:val="00000A70"/>
    <w:rsid w:val="000020BE"/>
    <w:rsid w:val="000032B8"/>
    <w:rsid w:val="00003B06"/>
    <w:rsid w:val="000054B9"/>
    <w:rsid w:val="0000730F"/>
    <w:rsid w:val="00007461"/>
    <w:rsid w:val="0001117E"/>
    <w:rsid w:val="0001125F"/>
    <w:rsid w:val="0001338E"/>
    <w:rsid w:val="00013D24"/>
    <w:rsid w:val="00014AF0"/>
    <w:rsid w:val="000155D6"/>
    <w:rsid w:val="00015D4E"/>
    <w:rsid w:val="000170F6"/>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99C"/>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81B"/>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CEE"/>
    <w:rsid w:val="00137D90"/>
    <w:rsid w:val="00140672"/>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4709"/>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149"/>
    <w:rsid w:val="001C60B5"/>
    <w:rsid w:val="001C61B0"/>
    <w:rsid w:val="001C7957"/>
    <w:rsid w:val="001C7DB8"/>
    <w:rsid w:val="001C7EA8"/>
    <w:rsid w:val="001D1711"/>
    <w:rsid w:val="001D2A01"/>
    <w:rsid w:val="001D2EF6"/>
    <w:rsid w:val="001D37A8"/>
    <w:rsid w:val="001D462E"/>
    <w:rsid w:val="001D66BF"/>
    <w:rsid w:val="001E2CAD"/>
    <w:rsid w:val="001E34DB"/>
    <w:rsid w:val="001E37CD"/>
    <w:rsid w:val="001E3D0E"/>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B7E85"/>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FF5"/>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8CD"/>
    <w:rsid w:val="00355A98"/>
    <w:rsid w:val="00355D7E"/>
    <w:rsid w:val="003568DE"/>
    <w:rsid w:val="00357CA1"/>
    <w:rsid w:val="00357F22"/>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BE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45"/>
    <w:rsid w:val="004166BB"/>
    <w:rsid w:val="004174CD"/>
    <w:rsid w:val="00422039"/>
    <w:rsid w:val="00423FBC"/>
    <w:rsid w:val="004241AA"/>
    <w:rsid w:val="0042422E"/>
    <w:rsid w:val="0043190E"/>
    <w:rsid w:val="004324E9"/>
    <w:rsid w:val="004327C7"/>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AD1"/>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BC1"/>
    <w:rsid w:val="00500121"/>
    <w:rsid w:val="005017AC"/>
    <w:rsid w:val="00501E8A"/>
    <w:rsid w:val="00505121"/>
    <w:rsid w:val="00505C04"/>
    <w:rsid w:val="00505F1B"/>
    <w:rsid w:val="005073E8"/>
    <w:rsid w:val="00510503"/>
    <w:rsid w:val="0051324D"/>
    <w:rsid w:val="00513416"/>
    <w:rsid w:val="00515466"/>
    <w:rsid w:val="005154F7"/>
    <w:rsid w:val="005159DE"/>
    <w:rsid w:val="005266D0"/>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4DE"/>
    <w:rsid w:val="005E4AEB"/>
    <w:rsid w:val="005E738F"/>
    <w:rsid w:val="005E76E9"/>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607"/>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0DE"/>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2DA"/>
    <w:rsid w:val="006A3487"/>
    <w:rsid w:val="006A6068"/>
    <w:rsid w:val="006A6954"/>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43B"/>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4EA"/>
    <w:rsid w:val="007509BE"/>
    <w:rsid w:val="0075287B"/>
    <w:rsid w:val="00755C7B"/>
    <w:rsid w:val="00764786"/>
    <w:rsid w:val="00766E12"/>
    <w:rsid w:val="0077098E"/>
    <w:rsid w:val="00771287"/>
    <w:rsid w:val="0077149E"/>
    <w:rsid w:val="00777518"/>
    <w:rsid w:val="0077779E"/>
    <w:rsid w:val="00780FB6"/>
    <w:rsid w:val="00783FF0"/>
    <w:rsid w:val="0078552A"/>
    <w:rsid w:val="00785729"/>
    <w:rsid w:val="00786058"/>
    <w:rsid w:val="00791ADD"/>
    <w:rsid w:val="0079487D"/>
    <w:rsid w:val="007966D4"/>
    <w:rsid w:val="00796A0A"/>
    <w:rsid w:val="0079792C"/>
    <w:rsid w:val="00797FFE"/>
    <w:rsid w:val="007A0989"/>
    <w:rsid w:val="007A26C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03C"/>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20"/>
    <w:rsid w:val="008347A9"/>
    <w:rsid w:val="00835628"/>
    <w:rsid w:val="00835E90"/>
    <w:rsid w:val="0084176D"/>
    <w:rsid w:val="008423E4"/>
    <w:rsid w:val="00842900"/>
    <w:rsid w:val="00844F3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D2C"/>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0D98"/>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5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7C7"/>
    <w:rsid w:val="009F1B37"/>
    <w:rsid w:val="009F1E92"/>
    <w:rsid w:val="009F2E34"/>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3A3"/>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0BD"/>
    <w:rsid w:val="00AF1433"/>
    <w:rsid w:val="00AF4625"/>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220"/>
    <w:rsid w:val="00BD4E55"/>
    <w:rsid w:val="00BD513B"/>
    <w:rsid w:val="00BD5E52"/>
    <w:rsid w:val="00BE00CD"/>
    <w:rsid w:val="00BE0E75"/>
    <w:rsid w:val="00BE1789"/>
    <w:rsid w:val="00BE3634"/>
    <w:rsid w:val="00BE3E30"/>
    <w:rsid w:val="00BE5274"/>
    <w:rsid w:val="00BE71CD"/>
    <w:rsid w:val="00BE7748"/>
    <w:rsid w:val="00BE7BDA"/>
    <w:rsid w:val="00BF0548"/>
    <w:rsid w:val="00BF3C40"/>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B9"/>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3950"/>
    <w:rsid w:val="00C74379"/>
    <w:rsid w:val="00C74DD8"/>
    <w:rsid w:val="00C75C5E"/>
    <w:rsid w:val="00C7669F"/>
    <w:rsid w:val="00C76DFF"/>
    <w:rsid w:val="00C80B8F"/>
    <w:rsid w:val="00C82743"/>
    <w:rsid w:val="00C834CE"/>
    <w:rsid w:val="00C85BB9"/>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727"/>
    <w:rsid w:val="00D22160"/>
    <w:rsid w:val="00D22172"/>
    <w:rsid w:val="00D2301B"/>
    <w:rsid w:val="00D239EE"/>
    <w:rsid w:val="00D30534"/>
    <w:rsid w:val="00D34D3C"/>
    <w:rsid w:val="00D35728"/>
    <w:rsid w:val="00D359A7"/>
    <w:rsid w:val="00D37BCF"/>
    <w:rsid w:val="00D40F93"/>
    <w:rsid w:val="00D42277"/>
    <w:rsid w:val="00D42B08"/>
    <w:rsid w:val="00D43C59"/>
    <w:rsid w:val="00D44ADE"/>
    <w:rsid w:val="00D50D65"/>
    <w:rsid w:val="00D512E0"/>
    <w:rsid w:val="00D519F3"/>
    <w:rsid w:val="00D51D2A"/>
    <w:rsid w:val="00D53B7C"/>
    <w:rsid w:val="00D55F52"/>
    <w:rsid w:val="00D56508"/>
    <w:rsid w:val="00D5765D"/>
    <w:rsid w:val="00D6131A"/>
    <w:rsid w:val="00D61611"/>
    <w:rsid w:val="00D61784"/>
    <w:rsid w:val="00D6178A"/>
    <w:rsid w:val="00D63B53"/>
    <w:rsid w:val="00D64B88"/>
    <w:rsid w:val="00D64DC5"/>
    <w:rsid w:val="00D66BA6"/>
    <w:rsid w:val="00D700B1"/>
    <w:rsid w:val="00D730FA"/>
    <w:rsid w:val="00D75129"/>
    <w:rsid w:val="00D76631"/>
    <w:rsid w:val="00D768B7"/>
    <w:rsid w:val="00D77492"/>
    <w:rsid w:val="00D811E8"/>
    <w:rsid w:val="00D81A44"/>
    <w:rsid w:val="00D83072"/>
    <w:rsid w:val="00D83ABC"/>
    <w:rsid w:val="00D84870"/>
    <w:rsid w:val="00D849D6"/>
    <w:rsid w:val="00D91B92"/>
    <w:rsid w:val="00D926B3"/>
    <w:rsid w:val="00D92F63"/>
    <w:rsid w:val="00D947B6"/>
    <w:rsid w:val="00D94A53"/>
    <w:rsid w:val="00D96518"/>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C28"/>
    <w:rsid w:val="00EA658E"/>
    <w:rsid w:val="00EA7A88"/>
    <w:rsid w:val="00EB27F2"/>
    <w:rsid w:val="00EB3928"/>
    <w:rsid w:val="00EB5373"/>
    <w:rsid w:val="00EC02A2"/>
    <w:rsid w:val="00EC379B"/>
    <w:rsid w:val="00EC37DF"/>
    <w:rsid w:val="00EC3A99"/>
    <w:rsid w:val="00EC41B1"/>
    <w:rsid w:val="00EC6295"/>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22D"/>
    <w:rsid w:val="00F6514B"/>
    <w:rsid w:val="00F6533E"/>
    <w:rsid w:val="00F6587F"/>
    <w:rsid w:val="00F67981"/>
    <w:rsid w:val="00F706CA"/>
    <w:rsid w:val="00F70F8D"/>
    <w:rsid w:val="00F71C5A"/>
    <w:rsid w:val="00F733A4"/>
    <w:rsid w:val="00F7758F"/>
    <w:rsid w:val="00F81959"/>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6F09"/>
    <w:rsid w:val="00FE19C5"/>
    <w:rsid w:val="00FE4286"/>
    <w:rsid w:val="00FE48C3"/>
    <w:rsid w:val="00FE5909"/>
    <w:rsid w:val="00FE652E"/>
    <w:rsid w:val="00FE71FE"/>
    <w:rsid w:val="00FF0A28"/>
    <w:rsid w:val="00FF0B8B"/>
    <w:rsid w:val="00FF0E93"/>
    <w:rsid w:val="00FF13C3"/>
    <w:rsid w:val="00FF2B86"/>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BEC8CD-9624-472F-8CFB-CCF13A88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uiPriority w:val="99"/>
    <w:rsid w:val="008423E4"/>
    <w:rPr>
      <w:sz w:val="24"/>
      <w:szCs w:val="24"/>
    </w:rPr>
  </w:style>
  <w:style w:type="character" w:styleId="CommentReference">
    <w:name w:val="annotation reference"/>
    <w:basedOn w:val="DefaultParagraphFont"/>
    <w:semiHidden/>
    <w:unhideWhenUsed/>
    <w:rsid w:val="00791ADD"/>
    <w:rPr>
      <w:sz w:val="16"/>
      <w:szCs w:val="16"/>
    </w:rPr>
  </w:style>
  <w:style w:type="paragraph" w:styleId="CommentText">
    <w:name w:val="annotation text"/>
    <w:basedOn w:val="Normal"/>
    <w:link w:val="CommentTextChar"/>
    <w:semiHidden/>
    <w:unhideWhenUsed/>
    <w:rsid w:val="00791ADD"/>
    <w:rPr>
      <w:sz w:val="20"/>
      <w:szCs w:val="20"/>
    </w:rPr>
  </w:style>
  <w:style w:type="character" w:customStyle="1" w:styleId="CommentTextChar">
    <w:name w:val="Comment Text Char"/>
    <w:basedOn w:val="DefaultParagraphFont"/>
    <w:link w:val="CommentText"/>
    <w:semiHidden/>
    <w:rsid w:val="00791ADD"/>
  </w:style>
  <w:style w:type="paragraph" w:styleId="CommentSubject">
    <w:name w:val="annotation subject"/>
    <w:basedOn w:val="CommentText"/>
    <w:next w:val="CommentText"/>
    <w:link w:val="CommentSubjectChar"/>
    <w:semiHidden/>
    <w:unhideWhenUsed/>
    <w:rsid w:val="00791ADD"/>
    <w:rPr>
      <w:b/>
      <w:bCs/>
    </w:rPr>
  </w:style>
  <w:style w:type="character" w:customStyle="1" w:styleId="CommentSubjectChar">
    <w:name w:val="Comment Subject Char"/>
    <w:basedOn w:val="CommentTextChar"/>
    <w:link w:val="CommentSubject"/>
    <w:semiHidden/>
    <w:rsid w:val="00791ADD"/>
    <w:rPr>
      <w:b/>
      <w:bCs/>
    </w:rPr>
  </w:style>
  <w:style w:type="paragraph" w:styleId="Revision">
    <w:name w:val="Revision"/>
    <w:hidden/>
    <w:uiPriority w:val="99"/>
    <w:semiHidden/>
    <w:rsid w:val="001D66BF"/>
    <w:rPr>
      <w:sz w:val="24"/>
      <w:szCs w:val="24"/>
    </w:rPr>
  </w:style>
  <w:style w:type="character" w:styleId="Hyperlink">
    <w:name w:val="Hyperlink"/>
    <w:basedOn w:val="DefaultParagraphFont"/>
    <w:unhideWhenUsed/>
    <w:rsid w:val="009F2E34"/>
    <w:rPr>
      <w:color w:val="0000FF" w:themeColor="hyperlink"/>
      <w:u w:val="single"/>
    </w:rPr>
  </w:style>
  <w:style w:type="character" w:customStyle="1" w:styleId="UnresolvedMention1">
    <w:name w:val="Unresolved Mention1"/>
    <w:basedOn w:val="DefaultParagraphFont"/>
    <w:uiPriority w:val="99"/>
    <w:semiHidden/>
    <w:unhideWhenUsed/>
    <w:rsid w:val="009F2E34"/>
    <w:rPr>
      <w:color w:val="605E5C"/>
      <w:shd w:val="clear" w:color="auto" w:fill="E1DFDD"/>
    </w:rPr>
  </w:style>
  <w:style w:type="character" w:styleId="FollowedHyperlink">
    <w:name w:val="FollowedHyperlink"/>
    <w:basedOn w:val="DefaultParagraphFont"/>
    <w:semiHidden/>
    <w:unhideWhenUsed/>
    <w:rsid w:val="00140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3767</Characters>
  <Application>Microsoft Office Word</Application>
  <DocSecurity>4</DocSecurity>
  <Lines>83</Lines>
  <Paragraphs>27</Paragraphs>
  <ScaleCrop>false</ScaleCrop>
  <HeadingPairs>
    <vt:vector size="2" baseType="variant">
      <vt:variant>
        <vt:lpstr>Title</vt:lpstr>
      </vt:variant>
      <vt:variant>
        <vt:i4>1</vt:i4>
      </vt:variant>
    </vt:vector>
  </HeadingPairs>
  <TitlesOfParts>
    <vt:vector size="1" baseType="lpstr">
      <vt:lpstr>BA - HB02687 (Committee Report (Unamended))</vt:lpstr>
    </vt:vector>
  </TitlesOfParts>
  <Company>State of Texas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22246</dc:subject>
  <dc:creator>State of Texas</dc:creator>
  <dc:description>HB 2687 by Leach-(H)Youth Health &amp; Safety, Select</dc:description>
  <cp:lastModifiedBy>Thomas Weis</cp:lastModifiedBy>
  <cp:revision>2</cp:revision>
  <cp:lastPrinted>2003-11-26T17:21:00Z</cp:lastPrinted>
  <dcterms:created xsi:type="dcterms:W3CDTF">2023-04-12T20:49:00Z</dcterms:created>
  <dcterms:modified xsi:type="dcterms:W3CDTF">2023-04-12T20:49:00Z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23.95.2044</vt:lpwstr>
  </property>
</Properties>
</file>