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40492" w14:paraId="2446104B" w14:textId="77777777" w:rsidTr="00345119">
        <w:tc>
          <w:tcPr>
            <w:tcW w:w="9576" w:type="dxa"/>
            <w:noWrap/>
          </w:tcPr>
          <w:p w14:paraId="28AA31D2" w14:textId="77777777" w:rsidR="008423E4" w:rsidRPr="0022177D" w:rsidRDefault="004A0513" w:rsidP="0050604E">
            <w:pPr>
              <w:pStyle w:val="Heading1"/>
            </w:pPr>
            <w:r w:rsidRPr="00631897">
              <w:t>BILL ANALYSIS</w:t>
            </w:r>
          </w:p>
        </w:tc>
      </w:tr>
    </w:tbl>
    <w:p w14:paraId="2EEBE045" w14:textId="77777777" w:rsidR="008423E4" w:rsidRPr="0022177D" w:rsidRDefault="008423E4" w:rsidP="0050604E">
      <w:pPr>
        <w:jc w:val="center"/>
      </w:pPr>
    </w:p>
    <w:p w14:paraId="2A07746F" w14:textId="77777777" w:rsidR="008423E4" w:rsidRPr="00B31F0E" w:rsidRDefault="008423E4" w:rsidP="0050604E"/>
    <w:p w14:paraId="7B0A9718" w14:textId="77777777" w:rsidR="008423E4" w:rsidRPr="00742794" w:rsidRDefault="008423E4" w:rsidP="0050604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40492" w14:paraId="7B794327" w14:textId="77777777" w:rsidTr="00345119">
        <w:tc>
          <w:tcPr>
            <w:tcW w:w="9576" w:type="dxa"/>
          </w:tcPr>
          <w:p w14:paraId="60536C94" w14:textId="5C9F0B06" w:rsidR="008423E4" w:rsidRPr="00861995" w:rsidRDefault="004A0513" w:rsidP="0050604E">
            <w:pPr>
              <w:jc w:val="right"/>
            </w:pPr>
            <w:r>
              <w:t>C.S.H.B. 2735</w:t>
            </w:r>
          </w:p>
        </w:tc>
      </w:tr>
      <w:tr w:rsidR="00E40492" w14:paraId="30F2953B" w14:textId="77777777" w:rsidTr="00345119">
        <w:tc>
          <w:tcPr>
            <w:tcW w:w="9576" w:type="dxa"/>
          </w:tcPr>
          <w:p w14:paraId="761223C1" w14:textId="487B8B98" w:rsidR="008423E4" w:rsidRPr="00861995" w:rsidRDefault="004A0513" w:rsidP="0050604E">
            <w:pPr>
              <w:jc w:val="right"/>
            </w:pPr>
            <w:r>
              <w:t xml:space="preserve">By: </w:t>
            </w:r>
            <w:r w:rsidR="00D2477D">
              <w:t>King, Tracy O.</w:t>
            </w:r>
          </w:p>
        </w:tc>
      </w:tr>
      <w:tr w:rsidR="00E40492" w14:paraId="59A5B0E5" w14:textId="77777777" w:rsidTr="00345119">
        <w:tc>
          <w:tcPr>
            <w:tcW w:w="9576" w:type="dxa"/>
          </w:tcPr>
          <w:p w14:paraId="6553C47C" w14:textId="32FA0615" w:rsidR="008423E4" w:rsidRPr="00861995" w:rsidRDefault="004A0513" w:rsidP="0050604E">
            <w:pPr>
              <w:jc w:val="right"/>
            </w:pPr>
            <w:r>
              <w:t>Natural Resources</w:t>
            </w:r>
          </w:p>
        </w:tc>
      </w:tr>
      <w:tr w:rsidR="00E40492" w14:paraId="05EF61AA" w14:textId="77777777" w:rsidTr="00345119">
        <w:tc>
          <w:tcPr>
            <w:tcW w:w="9576" w:type="dxa"/>
          </w:tcPr>
          <w:p w14:paraId="448037F4" w14:textId="2E3BD9C6" w:rsidR="008423E4" w:rsidRDefault="004A0513" w:rsidP="0050604E">
            <w:pPr>
              <w:jc w:val="right"/>
            </w:pPr>
            <w:r>
              <w:t>Committee Report (Substituted)</w:t>
            </w:r>
          </w:p>
        </w:tc>
      </w:tr>
    </w:tbl>
    <w:p w14:paraId="4B8257F3" w14:textId="77777777" w:rsidR="008423E4" w:rsidRDefault="008423E4" w:rsidP="0050604E">
      <w:pPr>
        <w:tabs>
          <w:tab w:val="right" w:pos="9360"/>
        </w:tabs>
      </w:pPr>
    </w:p>
    <w:p w14:paraId="6274F106" w14:textId="77777777" w:rsidR="008423E4" w:rsidRDefault="008423E4" w:rsidP="0050604E"/>
    <w:p w14:paraId="3B4F54A9" w14:textId="77777777" w:rsidR="008423E4" w:rsidRDefault="008423E4" w:rsidP="0050604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40492" w14:paraId="67C3E0ED" w14:textId="77777777" w:rsidTr="00345119">
        <w:tc>
          <w:tcPr>
            <w:tcW w:w="9576" w:type="dxa"/>
          </w:tcPr>
          <w:p w14:paraId="6D6FBD4B" w14:textId="77777777" w:rsidR="008423E4" w:rsidRPr="00A8133F" w:rsidRDefault="004A0513" w:rsidP="0050604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2BDE7A5" w14:textId="77777777" w:rsidR="008423E4" w:rsidRDefault="008423E4" w:rsidP="0050604E"/>
          <w:p w14:paraId="65F427AB" w14:textId="77777777" w:rsidR="008423E4" w:rsidRDefault="004A0513" w:rsidP="005060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</w:t>
            </w:r>
            <w:r w:rsidR="00DB4F5D">
              <w:t>has been</w:t>
            </w:r>
            <w:r>
              <w:t xml:space="preserve"> a</w:t>
            </w:r>
            <w:r w:rsidR="003E7ABB" w:rsidRPr="003E7ABB">
              <w:t xml:space="preserve"> growing number of third party protestant appeals of permits approved by groundwater districts</w:t>
            </w:r>
            <w:r>
              <w:t>.</w:t>
            </w:r>
            <w:r w:rsidR="003E7ABB" w:rsidRPr="003E7ABB">
              <w:t xml:space="preserve"> </w:t>
            </w:r>
            <w:r w:rsidR="001263D6">
              <w:t xml:space="preserve">Interested parties suggest that this rise is because of a lack of cost sharing by the appellants with regard to the burdens of such an appeal. </w:t>
            </w:r>
            <w:r>
              <w:t>C.S.</w:t>
            </w:r>
            <w:r w:rsidR="003E7ABB" w:rsidRPr="003E7ABB">
              <w:t>H</w:t>
            </w:r>
            <w:r>
              <w:t>.</w:t>
            </w:r>
            <w:r w:rsidR="003E7ABB" w:rsidRPr="003E7ABB">
              <w:t>B</w:t>
            </w:r>
            <w:r>
              <w:t>.</w:t>
            </w:r>
            <w:r w:rsidR="003E7ABB" w:rsidRPr="003E7ABB">
              <w:t xml:space="preserve"> 2735 </w:t>
            </w:r>
            <w:r>
              <w:t>see</w:t>
            </w:r>
            <w:r>
              <w:t>ks to</w:t>
            </w:r>
            <w:r w:rsidR="00F70240">
              <w:t xml:space="preserve"> address this issue by requiring that a </w:t>
            </w:r>
            <w:r w:rsidR="003E7ABB" w:rsidRPr="003E7ABB">
              <w:t xml:space="preserve">security be posted by a party to a contested case hearing </w:t>
            </w:r>
            <w:r w:rsidR="00F70240">
              <w:t>relating to an applicable district decision</w:t>
            </w:r>
            <w:r w:rsidR="003E7ABB" w:rsidRPr="003E7ABB">
              <w:t xml:space="preserve">. </w:t>
            </w:r>
          </w:p>
          <w:p w14:paraId="3347E25D" w14:textId="4B2F0589" w:rsidR="0050604E" w:rsidRPr="00E26B13" w:rsidRDefault="0050604E" w:rsidP="0050604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40492" w14:paraId="713DC77F" w14:textId="77777777" w:rsidTr="00345119">
        <w:tc>
          <w:tcPr>
            <w:tcW w:w="9576" w:type="dxa"/>
          </w:tcPr>
          <w:p w14:paraId="6098C773" w14:textId="77777777" w:rsidR="0017725B" w:rsidRDefault="004A0513" w:rsidP="005060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28816F" w14:textId="77777777" w:rsidR="0017725B" w:rsidRDefault="0017725B" w:rsidP="0050604E">
            <w:pPr>
              <w:rPr>
                <w:b/>
                <w:u w:val="single"/>
              </w:rPr>
            </w:pPr>
          </w:p>
          <w:p w14:paraId="4DC28AB7" w14:textId="3B507E80" w:rsidR="00E4578E" w:rsidRPr="00E4578E" w:rsidRDefault="004A0513" w:rsidP="0050604E">
            <w:pPr>
              <w:jc w:val="both"/>
            </w:pPr>
            <w:r>
              <w:t>It is the committee's opinion that this bill does not expressly create a crimina</w:t>
            </w:r>
            <w:r>
              <w:t>l offense, increase the punishment for an existing criminal offense or category of offenses, or change the eligibility of a person for community supervision, parole, or mandatory supervision.</w:t>
            </w:r>
          </w:p>
          <w:p w14:paraId="7D383B09" w14:textId="77777777" w:rsidR="0017725B" w:rsidRPr="0017725B" w:rsidRDefault="0017725B" w:rsidP="0050604E">
            <w:pPr>
              <w:rPr>
                <w:b/>
                <w:u w:val="single"/>
              </w:rPr>
            </w:pPr>
          </w:p>
        </w:tc>
      </w:tr>
      <w:tr w:rsidR="00E40492" w14:paraId="7162022E" w14:textId="77777777" w:rsidTr="00345119">
        <w:tc>
          <w:tcPr>
            <w:tcW w:w="9576" w:type="dxa"/>
          </w:tcPr>
          <w:p w14:paraId="6A1B3D75" w14:textId="77777777" w:rsidR="008423E4" w:rsidRPr="00A8133F" w:rsidRDefault="004A0513" w:rsidP="0050604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211A81E" w14:textId="77777777" w:rsidR="008423E4" w:rsidRDefault="008423E4" w:rsidP="0050604E"/>
          <w:p w14:paraId="3DAD4AA8" w14:textId="3C15DCE2" w:rsidR="00E4578E" w:rsidRDefault="004A0513" w:rsidP="005060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</w:t>
            </w:r>
            <w:r>
              <w:t>this bill does not expressly grant any additional rulemaking authority to a state officer, department, agency, or institution.</w:t>
            </w:r>
          </w:p>
          <w:p w14:paraId="31C1C2FC" w14:textId="77777777" w:rsidR="008423E4" w:rsidRPr="00E21FDC" w:rsidRDefault="008423E4" w:rsidP="0050604E">
            <w:pPr>
              <w:rPr>
                <w:b/>
              </w:rPr>
            </w:pPr>
          </w:p>
        </w:tc>
      </w:tr>
      <w:tr w:rsidR="00E40492" w14:paraId="60E2A969" w14:textId="77777777" w:rsidTr="00345119">
        <w:tc>
          <w:tcPr>
            <w:tcW w:w="9576" w:type="dxa"/>
          </w:tcPr>
          <w:p w14:paraId="57FA873C" w14:textId="77777777" w:rsidR="008423E4" w:rsidRPr="00A8133F" w:rsidRDefault="004A0513" w:rsidP="0050604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122F19F" w14:textId="77777777" w:rsidR="008423E4" w:rsidRDefault="008423E4" w:rsidP="0050604E"/>
          <w:p w14:paraId="5628E0A7" w14:textId="1EE95CD6" w:rsidR="00E4578E" w:rsidRDefault="004A0513" w:rsidP="0050604E">
            <w:pPr>
              <w:pStyle w:val="Header"/>
              <w:jc w:val="both"/>
            </w:pPr>
            <w:r>
              <w:t>C.S.</w:t>
            </w:r>
            <w:r w:rsidRPr="00E4578E">
              <w:t>H.B. 2735</w:t>
            </w:r>
            <w:r>
              <w:t xml:space="preserve"> amends the Water Code to require a groundwater conservation district, subject to Civil Practice and Remedies Code provisions relating to the amount of security for a money judgment, by rule to establish the amount of security required to file a suit again</w:t>
            </w:r>
            <w:r>
              <w:t>st the district challenging a rule or order made by the district</w:t>
            </w:r>
            <w:r w:rsidR="00F31D10">
              <w:t>, including an appeal of a decision on a permit application</w:t>
            </w:r>
            <w:r>
              <w:t>. The bill caps the required amount of security at $100,000 but requires the amount of security posted by a party to a contested case</w:t>
            </w:r>
            <w:r>
              <w:t xml:space="preserve"> hearing, other than by the applicant, for the appeal of a decision granting a permit application or permit amendment application to be increased by an amount sufficient to cover the applicant's cost to defend the </w:t>
            </w:r>
            <w:r w:rsidR="00B52441">
              <w:t xml:space="preserve">granted </w:t>
            </w:r>
            <w:r>
              <w:t>permit or amendment against the su</w:t>
            </w:r>
            <w:r>
              <w:t>it and appeal. The bill caps the amount of the increase at $100,000.</w:t>
            </w:r>
          </w:p>
          <w:p w14:paraId="472C685C" w14:textId="77777777" w:rsidR="00E4578E" w:rsidRDefault="00E4578E" w:rsidP="0050604E">
            <w:pPr>
              <w:pStyle w:val="Header"/>
              <w:jc w:val="both"/>
            </w:pPr>
          </w:p>
          <w:p w14:paraId="0E0A2554" w14:textId="4DAAD7B7" w:rsidR="00E4578E" w:rsidRDefault="004A0513" w:rsidP="0050604E">
            <w:pPr>
              <w:pStyle w:val="Header"/>
              <w:jc w:val="both"/>
            </w:pPr>
            <w:r>
              <w:t>C.S.</w:t>
            </w:r>
            <w:r w:rsidR="004C3944" w:rsidRPr="004C3944">
              <w:t xml:space="preserve">H.B. 2735 </w:t>
            </w:r>
            <w:r>
              <w:t xml:space="preserve">establishes that Civil Practice and Remedies Code provisions relating to the amount of security for a money judgment apply to an appeal from a district court </w:t>
            </w:r>
            <w:r w:rsidR="00CE7056">
              <w:t xml:space="preserve">decision </w:t>
            </w:r>
            <w:r>
              <w:t>affir</w:t>
            </w:r>
            <w:r>
              <w:t>ming a district's rule, order, or decision on a permit application and requires the amount of security for the appeal to equal the sum of the following:</w:t>
            </w:r>
          </w:p>
          <w:p w14:paraId="532CEC2F" w14:textId="2B17DDD8" w:rsidR="00E4578E" w:rsidRDefault="004A0513" w:rsidP="0050604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amount of any civil penalty awarded;</w:t>
            </w:r>
          </w:p>
          <w:p w14:paraId="74E21EB9" w14:textId="4DA67C10" w:rsidR="00E4578E" w:rsidRDefault="004A0513" w:rsidP="0050604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interest for the estimated duration of the suit or appeal; and</w:t>
            </w:r>
          </w:p>
          <w:p w14:paraId="577F9430" w14:textId="18B7728F" w:rsidR="00E4578E" w:rsidRDefault="004A0513" w:rsidP="0050604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attorney's fees and costs required for the district to defend against the suit and appeal.</w:t>
            </w:r>
          </w:p>
          <w:p w14:paraId="5464D785" w14:textId="77777777" w:rsidR="00E4578E" w:rsidRDefault="00E4578E" w:rsidP="0050604E">
            <w:pPr>
              <w:pStyle w:val="Header"/>
              <w:jc w:val="both"/>
            </w:pPr>
          </w:p>
          <w:p w14:paraId="292A8FFD" w14:textId="62A2AF39" w:rsidR="008423E4" w:rsidRPr="00835628" w:rsidRDefault="004A0513" w:rsidP="0050604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C.S.</w:t>
            </w:r>
            <w:r w:rsidR="004C3944" w:rsidRPr="004C3944">
              <w:t xml:space="preserve">H.B. 2735 </w:t>
            </w:r>
            <w:r w:rsidR="00E4578E">
              <w:t>requires a security under the bill's provisions to be filed into the registry of the district court in which the suit is filed. The bill defines "security" as a bond or deposit posted by a plaintiff before filing suit against a district or, as provided by the Texas Rules of Appellate Procedure, by a judgment debtor to a district to suspend execution of the judgment during appeal of the judgment.</w:t>
            </w:r>
            <w:r w:rsidR="00A42DCF">
              <w:t xml:space="preserve"> The bill's provisions</w:t>
            </w:r>
            <w:r w:rsidR="004C3944">
              <w:t xml:space="preserve"> </w:t>
            </w:r>
            <w:r w:rsidR="004C3944" w:rsidRPr="004C3944">
              <w:t>apply only to a suit against a groundwater conservation district that is filed on or after the</w:t>
            </w:r>
            <w:r w:rsidR="00A42DCF">
              <w:t xml:space="preserve"> bill's</w:t>
            </w:r>
            <w:r w:rsidR="004C3944" w:rsidRPr="004C3944">
              <w:t xml:space="preserve"> effective date</w:t>
            </w:r>
            <w:r w:rsidR="00B41A2C">
              <w:t>.</w:t>
            </w:r>
          </w:p>
        </w:tc>
      </w:tr>
      <w:tr w:rsidR="00E40492" w14:paraId="1B20094D" w14:textId="77777777" w:rsidTr="00345119">
        <w:tc>
          <w:tcPr>
            <w:tcW w:w="9576" w:type="dxa"/>
          </w:tcPr>
          <w:p w14:paraId="728A0C70" w14:textId="77777777" w:rsidR="008423E4" w:rsidRPr="00A8133F" w:rsidRDefault="004A0513" w:rsidP="0050604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50C2916" w14:textId="77777777" w:rsidR="008423E4" w:rsidRDefault="008423E4" w:rsidP="0050604E"/>
          <w:p w14:paraId="2E910956" w14:textId="352563E1" w:rsidR="008423E4" w:rsidRPr="003624F2" w:rsidRDefault="004A0513" w:rsidP="005060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D1FE1A4" w14:textId="77777777" w:rsidR="008423E4" w:rsidRPr="00233FDB" w:rsidRDefault="008423E4" w:rsidP="0050604E">
            <w:pPr>
              <w:rPr>
                <w:b/>
              </w:rPr>
            </w:pPr>
          </w:p>
        </w:tc>
      </w:tr>
      <w:tr w:rsidR="00E40492" w14:paraId="6A1D36F6" w14:textId="77777777" w:rsidTr="00345119">
        <w:tc>
          <w:tcPr>
            <w:tcW w:w="9576" w:type="dxa"/>
          </w:tcPr>
          <w:p w14:paraId="471FC6D3" w14:textId="77777777" w:rsidR="00D2477D" w:rsidRDefault="004A0513" w:rsidP="0050604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E661217" w14:textId="77777777" w:rsidR="008E7DC8" w:rsidRPr="004D44E2" w:rsidRDefault="008E7DC8" w:rsidP="0050604E">
            <w:pPr>
              <w:jc w:val="both"/>
            </w:pPr>
          </w:p>
          <w:p w14:paraId="236B25B1" w14:textId="46E5DA73" w:rsidR="008E7DC8" w:rsidRDefault="004A0513" w:rsidP="0050604E">
            <w:pPr>
              <w:jc w:val="both"/>
            </w:pPr>
            <w:r>
              <w:t xml:space="preserve">C.S.H.B. </w:t>
            </w:r>
            <w:r w:rsidRPr="004C3944">
              <w:t xml:space="preserve">2735 </w:t>
            </w:r>
            <w:r>
              <w:t xml:space="preserve">differs from the </w:t>
            </w:r>
            <w:r>
              <w:t>introduced only by including a Texas Legislative Council draft number in the footer.</w:t>
            </w:r>
          </w:p>
          <w:p w14:paraId="4DE3FB97" w14:textId="77777777" w:rsidR="008E7DC8" w:rsidRDefault="008E7DC8" w:rsidP="0050604E">
            <w:pPr>
              <w:jc w:val="both"/>
            </w:pPr>
          </w:p>
          <w:p w14:paraId="625ECE4C" w14:textId="5DC0F0D5" w:rsidR="004D44E2" w:rsidRPr="008E7DC8" w:rsidRDefault="004D44E2" w:rsidP="0050604E">
            <w:pPr>
              <w:jc w:val="both"/>
            </w:pPr>
          </w:p>
        </w:tc>
      </w:tr>
      <w:tr w:rsidR="00E40492" w14:paraId="2705F509" w14:textId="77777777" w:rsidTr="00345119">
        <w:tc>
          <w:tcPr>
            <w:tcW w:w="9576" w:type="dxa"/>
          </w:tcPr>
          <w:p w14:paraId="0E31C958" w14:textId="77777777" w:rsidR="00D2477D" w:rsidRPr="009C1E9A" w:rsidRDefault="00D2477D" w:rsidP="0050604E">
            <w:pPr>
              <w:rPr>
                <w:b/>
                <w:u w:val="single"/>
              </w:rPr>
            </w:pPr>
          </w:p>
        </w:tc>
      </w:tr>
      <w:tr w:rsidR="00E40492" w14:paraId="4EEE77E4" w14:textId="77777777" w:rsidTr="00345119">
        <w:tc>
          <w:tcPr>
            <w:tcW w:w="9576" w:type="dxa"/>
          </w:tcPr>
          <w:p w14:paraId="5B57B603" w14:textId="77777777" w:rsidR="00D2477D" w:rsidRPr="00D2477D" w:rsidRDefault="00D2477D" w:rsidP="0050604E">
            <w:pPr>
              <w:jc w:val="both"/>
            </w:pPr>
          </w:p>
        </w:tc>
      </w:tr>
    </w:tbl>
    <w:p w14:paraId="371195B5" w14:textId="77777777" w:rsidR="008423E4" w:rsidRPr="00BE0E75" w:rsidRDefault="008423E4" w:rsidP="0050604E">
      <w:pPr>
        <w:jc w:val="both"/>
        <w:rPr>
          <w:rFonts w:ascii="Arial" w:hAnsi="Arial"/>
          <w:sz w:val="16"/>
          <w:szCs w:val="16"/>
        </w:rPr>
      </w:pPr>
    </w:p>
    <w:p w14:paraId="38A90637" w14:textId="77777777" w:rsidR="004108C3" w:rsidRPr="008423E4" w:rsidRDefault="004108C3" w:rsidP="0050604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2DB5" w14:textId="77777777" w:rsidR="00000000" w:rsidRDefault="004A0513">
      <w:r>
        <w:separator/>
      </w:r>
    </w:p>
  </w:endnote>
  <w:endnote w:type="continuationSeparator" w:id="0">
    <w:p w14:paraId="412305E5" w14:textId="77777777" w:rsidR="00000000" w:rsidRDefault="004A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77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40492" w14:paraId="60E6A074" w14:textId="77777777" w:rsidTr="009C1E9A">
      <w:trPr>
        <w:cantSplit/>
      </w:trPr>
      <w:tc>
        <w:tcPr>
          <w:tcW w:w="0" w:type="pct"/>
        </w:tcPr>
        <w:p w14:paraId="3DA84E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D57A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C37E8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D8CA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9CFB8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40492" w14:paraId="7A9084D4" w14:textId="77777777" w:rsidTr="009C1E9A">
      <w:trPr>
        <w:cantSplit/>
      </w:trPr>
      <w:tc>
        <w:tcPr>
          <w:tcW w:w="0" w:type="pct"/>
        </w:tcPr>
        <w:p w14:paraId="0AA66F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177BD8" w14:textId="180A94C6" w:rsidR="00EC379B" w:rsidRPr="009C1E9A" w:rsidRDefault="004A051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26782-D</w:t>
          </w:r>
        </w:p>
      </w:tc>
      <w:tc>
        <w:tcPr>
          <w:tcW w:w="2453" w:type="pct"/>
        </w:tcPr>
        <w:p w14:paraId="55F6DD31" w14:textId="4D4F3716" w:rsidR="00EC379B" w:rsidRDefault="004A051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0604E">
            <w:t>23.119.130</w:t>
          </w:r>
          <w:r>
            <w:fldChar w:fldCharType="end"/>
          </w:r>
        </w:p>
      </w:tc>
    </w:tr>
    <w:tr w:rsidR="00E40492" w14:paraId="6B921A83" w14:textId="77777777" w:rsidTr="009C1E9A">
      <w:trPr>
        <w:cantSplit/>
      </w:trPr>
      <w:tc>
        <w:tcPr>
          <w:tcW w:w="0" w:type="pct"/>
        </w:tcPr>
        <w:p w14:paraId="1544A5A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942CEC" w14:textId="3CC81EC8" w:rsidR="00EC379B" w:rsidRPr="009C1E9A" w:rsidRDefault="004A051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26564</w:t>
          </w:r>
        </w:p>
      </w:tc>
      <w:tc>
        <w:tcPr>
          <w:tcW w:w="2453" w:type="pct"/>
        </w:tcPr>
        <w:p w14:paraId="208C1C2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A1FA8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40492" w14:paraId="50ECBA4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100601" w14:textId="77777777" w:rsidR="00EC379B" w:rsidRDefault="004A051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4C33C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B1FB2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E85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FE50" w14:textId="77777777" w:rsidR="00000000" w:rsidRDefault="004A0513">
      <w:r>
        <w:separator/>
      </w:r>
    </w:p>
  </w:footnote>
  <w:footnote w:type="continuationSeparator" w:id="0">
    <w:p w14:paraId="1883689B" w14:textId="77777777" w:rsidR="00000000" w:rsidRDefault="004A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E98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E76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1C8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996"/>
    <w:multiLevelType w:val="hybridMultilevel"/>
    <w:tmpl w:val="EF32CF08"/>
    <w:lvl w:ilvl="0" w:tplc="C3BC9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28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AE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C3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EA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2E9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09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2E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C7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55103"/>
    <w:multiLevelType w:val="hybridMultilevel"/>
    <w:tmpl w:val="428EAE04"/>
    <w:lvl w:ilvl="0" w:tplc="B8D8B15E">
      <w:start w:val="2"/>
      <w:numFmt w:val="bullet"/>
      <w:lvlText w:val="·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F23C9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4D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EE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ED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0B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CF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C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A4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8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177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03B"/>
    <w:rsid w:val="001169F9"/>
    <w:rsid w:val="00120797"/>
    <w:rsid w:val="001218D2"/>
    <w:rsid w:val="0012371B"/>
    <w:rsid w:val="001245C8"/>
    <w:rsid w:val="00124653"/>
    <w:rsid w:val="001247C5"/>
    <w:rsid w:val="001263D6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E8C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F2A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7B2"/>
    <w:rsid w:val="003427C9"/>
    <w:rsid w:val="00343A92"/>
    <w:rsid w:val="00344340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ABB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B36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513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944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4E2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04E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1EB6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C30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7B9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793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3AC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7DC8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447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CC1"/>
    <w:rsid w:val="00A41085"/>
    <w:rsid w:val="00A425FA"/>
    <w:rsid w:val="00A42DCF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069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BD9"/>
    <w:rsid w:val="00AC5AAB"/>
    <w:rsid w:val="00AC5AEC"/>
    <w:rsid w:val="00AC5F28"/>
    <w:rsid w:val="00AC6900"/>
    <w:rsid w:val="00AD304B"/>
    <w:rsid w:val="00AD4497"/>
    <w:rsid w:val="00AD7780"/>
    <w:rsid w:val="00AD7E03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A2C"/>
    <w:rsid w:val="00B43672"/>
    <w:rsid w:val="00B473D8"/>
    <w:rsid w:val="00B5165A"/>
    <w:rsid w:val="00B52441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FC9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05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77D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F5D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C08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492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78E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128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1D10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240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68F2"/>
    <w:rsid w:val="00FE71FE"/>
    <w:rsid w:val="00FF0A28"/>
    <w:rsid w:val="00FF0B8B"/>
    <w:rsid w:val="00FF0E93"/>
    <w:rsid w:val="00FF13C3"/>
    <w:rsid w:val="00FF34C8"/>
    <w:rsid w:val="00FF4341"/>
    <w:rsid w:val="00FF517B"/>
    <w:rsid w:val="00FF525E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421DE6-13D3-4398-9E7D-B4A0AEB9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E4578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39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3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39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3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3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2644</Characters>
  <Application>Microsoft Office Word</Application>
  <DocSecurity>4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HB02735 (Committee Report (Substituted))</vt:lpstr>
    </vt:vector>
  </TitlesOfParts>
  <Company>State of Texas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26782</dc:subject>
  <dc:creator>State of Texas</dc:creator>
  <dc:description>HB 2735 by King, Tracy O.-(H)Natural Resources (Substitute Document Number: 88R 26564)</dc:description>
  <cp:lastModifiedBy>Alan Gonzalez Otero</cp:lastModifiedBy>
  <cp:revision>2</cp:revision>
  <cp:lastPrinted>2003-11-26T17:21:00Z</cp:lastPrinted>
  <dcterms:created xsi:type="dcterms:W3CDTF">2023-05-02T02:02:00Z</dcterms:created>
  <dcterms:modified xsi:type="dcterms:W3CDTF">2023-05-02T02:02:00Z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23.119.130</vt:lpwstr>
  </property>
</Properties>
</file>