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EF0279" w14:paraId="16ADBCC6" w14:textId="77777777" w:rsidTr="00345119">
        <w:tc>
          <w:tcPr>
            <w:tcW w:w="9576" w:type="dxa"/>
            <w:noWrap/>
          </w:tcPr>
          <w:p w14:paraId="7FF93686" w14:textId="77777777" w:rsidR="008423E4" w:rsidRPr="0022177D" w:rsidRDefault="005159FB" w:rsidP="000455B4">
            <w:pPr>
              <w:pStyle w:val="Heading1"/>
            </w:pPr>
            <w:r w:rsidRPr="00631897">
              <w:t>BILL ANALYSIS</w:t>
            </w:r>
          </w:p>
        </w:tc>
      </w:tr>
    </w:tbl>
    <w:p w14:paraId="222FC8C8" w14:textId="77777777" w:rsidR="008423E4" w:rsidRPr="0022177D" w:rsidRDefault="008423E4" w:rsidP="000455B4">
      <w:pPr>
        <w:jc w:val="center"/>
      </w:pPr>
    </w:p>
    <w:p w14:paraId="1E3653C2" w14:textId="77777777" w:rsidR="008423E4" w:rsidRPr="00B31F0E" w:rsidRDefault="008423E4" w:rsidP="000455B4"/>
    <w:p w14:paraId="25380EAC" w14:textId="77777777" w:rsidR="008423E4" w:rsidRPr="00742794" w:rsidRDefault="008423E4" w:rsidP="000455B4">
      <w:pPr>
        <w:tabs>
          <w:tab w:val="right" w:pos="9360"/>
        </w:tabs>
      </w:pPr>
    </w:p>
    <w:tbl>
      <w:tblPr>
        <w:tblW w:w="0" w:type="auto"/>
        <w:tblLayout w:type="fixed"/>
        <w:tblLook w:val="01E0" w:firstRow="1" w:lastRow="1" w:firstColumn="1" w:lastColumn="1" w:noHBand="0" w:noVBand="0"/>
      </w:tblPr>
      <w:tblGrid>
        <w:gridCol w:w="9576"/>
      </w:tblGrid>
      <w:tr w:rsidR="00EF0279" w14:paraId="3E7FDF40" w14:textId="77777777" w:rsidTr="00345119">
        <w:tc>
          <w:tcPr>
            <w:tcW w:w="9576" w:type="dxa"/>
          </w:tcPr>
          <w:p w14:paraId="7297A41D" w14:textId="4E3EF6A6" w:rsidR="008423E4" w:rsidRPr="00861995" w:rsidRDefault="005159FB" w:rsidP="000455B4">
            <w:pPr>
              <w:jc w:val="right"/>
            </w:pPr>
            <w:r>
              <w:t>H.B. 2747</w:t>
            </w:r>
          </w:p>
        </w:tc>
      </w:tr>
      <w:tr w:rsidR="00EF0279" w14:paraId="229061D2" w14:textId="77777777" w:rsidTr="00345119">
        <w:tc>
          <w:tcPr>
            <w:tcW w:w="9576" w:type="dxa"/>
          </w:tcPr>
          <w:p w14:paraId="4AA477AF" w14:textId="517A4680" w:rsidR="008423E4" w:rsidRPr="00861995" w:rsidRDefault="005159FB" w:rsidP="000455B4">
            <w:pPr>
              <w:jc w:val="right"/>
            </w:pPr>
            <w:r>
              <w:t xml:space="preserve">By: </w:t>
            </w:r>
            <w:r w:rsidR="004F7997">
              <w:t>Darby</w:t>
            </w:r>
          </w:p>
        </w:tc>
      </w:tr>
      <w:tr w:rsidR="00EF0279" w14:paraId="275981C9" w14:textId="77777777" w:rsidTr="00345119">
        <w:tc>
          <w:tcPr>
            <w:tcW w:w="9576" w:type="dxa"/>
          </w:tcPr>
          <w:p w14:paraId="180588B0" w14:textId="0A275CCA" w:rsidR="008423E4" w:rsidRPr="00861995" w:rsidRDefault="005159FB" w:rsidP="000455B4">
            <w:pPr>
              <w:jc w:val="right"/>
            </w:pPr>
            <w:r>
              <w:t>Ways &amp; Means</w:t>
            </w:r>
          </w:p>
        </w:tc>
      </w:tr>
      <w:tr w:rsidR="00EF0279" w14:paraId="0EAADDCF" w14:textId="77777777" w:rsidTr="00345119">
        <w:tc>
          <w:tcPr>
            <w:tcW w:w="9576" w:type="dxa"/>
          </w:tcPr>
          <w:p w14:paraId="2FD4B830" w14:textId="542EFF16" w:rsidR="008423E4" w:rsidRDefault="005159FB" w:rsidP="000455B4">
            <w:pPr>
              <w:jc w:val="right"/>
            </w:pPr>
            <w:r>
              <w:t>Committee Report (Unamended)</w:t>
            </w:r>
          </w:p>
        </w:tc>
      </w:tr>
    </w:tbl>
    <w:p w14:paraId="4C0C15E8" w14:textId="77777777" w:rsidR="008423E4" w:rsidRDefault="008423E4" w:rsidP="000455B4">
      <w:pPr>
        <w:tabs>
          <w:tab w:val="right" w:pos="9360"/>
        </w:tabs>
      </w:pPr>
    </w:p>
    <w:p w14:paraId="06B1389B" w14:textId="77777777" w:rsidR="008423E4" w:rsidRDefault="008423E4" w:rsidP="000455B4"/>
    <w:p w14:paraId="57D5452F" w14:textId="77777777" w:rsidR="008423E4" w:rsidRDefault="008423E4" w:rsidP="000455B4"/>
    <w:tbl>
      <w:tblPr>
        <w:tblW w:w="0" w:type="auto"/>
        <w:tblCellMar>
          <w:left w:w="115" w:type="dxa"/>
          <w:right w:w="115" w:type="dxa"/>
        </w:tblCellMar>
        <w:tblLook w:val="01E0" w:firstRow="1" w:lastRow="1" w:firstColumn="1" w:lastColumn="1" w:noHBand="0" w:noVBand="0"/>
      </w:tblPr>
      <w:tblGrid>
        <w:gridCol w:w="9360"/>
      </w:tblGrid>
      <w:tr w:rsidR="00EF0279" w14:paraId="017914D7" w14:textId="77777777" w:rsidTr="00345119">
        <w:tc>
          <w:tcPr>
            <w:tcW w:w="9576" w:type="dxa"/>
          </w:tcPr>
          <w:p w14:paraId="2BCC02BA" w14:textId="77777777" w:rsidR="008423E4" w:rsidRPr="00A8133F" w:rsidRDefault="005159FB" w:rsidP="000455B4">
            <w:pPr>
              <w:rPr>
                <w:b/>
              </w:rPr>
            </w:pPr>
            <w:r w:rsidRPr="009C1E9A">
              <w:rPr>
                <w:b/>
                <w:u w:val="single"/>
              </w:rPr>
              <w:t>BACKGROUND AND PURPOSE</w:t>
            </w:r>
            <w:r>
              <w:rPr>
                <w:b/>
              </w:rPr>
              <w:t xml:space="preserve"> </w:t>
            </w:r>
          </w:p>
          <w:p w14:paraId="4C916D91" w14:textId="77777777" w:rsidR="008423E4" w:rsidRDefault="008423E4" w:rsidP="000455B4"/>
          <w:p w14:paraId="02251EE8" w14:textId="45D10CD1" w:rsidR="008423E4" w:rsidRDefault="005159FB" w:rsidP="000455B4">
            <w:pPr>
              <w:pStyle w:val="Header"/>
              <w:tabs>
                <w:tab w:val="clear" w:pos="4320"/>
                <w:tab w:val="clear" w:pos="8640"/>
              </w:tabs>
              <w:jc w:val="both"/>
            </w:pPr>
            <w:r w:rsidRPr="009631D6">
              <w:t>Erroneous homestead exemptions bestow an unmerited benefit on some homeowners. This shifts the tax burden to compliant taxpayers through increased tax rates. As the Texas Legislature considers increasing the homestead exemption, the fiscal harm and unfairn</w:t>
            </w:r>
            <w:r w:rsidRPr="009631D6">
              <w:t xml:space="preserve">ess grows proportionately. Periodic review of homestead exemptions will increase consistency across the state and facilitate fairness in </w:t>
            </w:r>
            <w:r w:rsidR="007131E4">
              <w:t xml:space="preserve">setting </w:t>
            </w:r>
            <w:r w:rsidRPr="009631D6">
              <w:t>tax rate</w:t>
            </w:r>
            <w:r w:rsidR="007131E4">
              <w:t>s</w:t>
            </w:r>
            <w:r w:rsidRPr="009631D6">
              <w:t xml:space="preserve"> by adding value to the tax roll.</w:t>
            </w:r>
            <w:r>
              <w:t xml:space="preserve"> </w:t>
            </w:r>
            <w:r w:rsidRPr="009631D6">
              <w:t>Current law requires a chief appraiser to investigate if a previousl</w:t>
            </w:r>
            <w:r w:rsidRPr="009631D6">
              <w:t>y granted homestead exemption is invalid. This can happen when an owner has an exemption on more than one property or an owner does not primarily live at a residence. If the chief appraiser discovers that an exemption has been erroneously allowed in any on</w:t>
            </w:r>
            <w:r w:rsidRPr="009631D6">
              <w:t>e of the five prior years, the chief appraiser must remove the exemption and initiate a process to impose taxes on any value that escaped taxation. While current law requires a chief appraiser to investigate, there is no requirement to proactively review e</w:t>
            </w:r>
            <w:r w:rsidRPr="009631D6">
              <w:t>xisting homestead exemptions to determine whether an exemption may be erroneous. H</w:t>
            </w:r>
            <w:r w:rsidR="00F5171C">
              <w:t>.</w:t>
            </w:r>
            <w:r w:rsidRPr="009631D6">
              <w:t>B</w:t>
            </w:r>
            <w:r w:rsidR="00F5171C">
              <w:t>.</w:t>
            </w:r>
            <w:r w:rsidR="00586F90">
              <w:t> </w:t>
            </w:r>
            <w:r w:rsidRPr="009631D6">
              <w:t>2747 seeks to addresses this issue</w:t>
            </w:r>
            <w:r>
              <w:t xml:space="preserve"> by providing </w:t>
            </w:r>
            <w:r w:rsidRPr="00423D42">
              <w:t xml:space="preserve">for the periodic review of each residence homestead exemption granted by </w:t>
            </w:r>
            <w:r>
              <w:t>an appraisal</w:t>
            </w:r>
            <w:r w:rsidRPr="00423D42">
              <w:t xml:space="preserve"> district</w:t>
            </w:r>
            <w:r>
              <w:t xml:space="preserve"> </w:t>
            </w:r>
            <w:r w:rsidRPr="00423D42">
              <w:t>to confirm that the recipie</w:t>
            </w:r>
            <w:r w:rsidRPr="00423D42">
              <w:t>nt still qualifies for the exemption</w:t>
            </w:r>
            <w:r w:rsidRPr="009631D6">
              <w:t>.</w:t>
            </w:r>
          </w:p>
          <w:p w14:paraId="651F6BD7" w14:textId="77777777" w:rsidR="008423E4" w:rsidRPr="00E26B13" w:rsidRDefault="008423E4" w:rsidP="000455B4">
            <w:pPr>
              <w:rPr>
                <w:b/>
              </w:rPr>
            </w:pPr>
          </w:p>
        </w:tc>
      </w:tr>
      <w:tr w:rsidR="00EF0279" w14:paraId="4B32B1BA" w14:textId="77777777" w:rsidTr="00345119">
        <w:tc>
          <w:tcPr>
            <w:tcW w:w="9576" w:type="dxa"/>
          </w:tcPr>
          <w:p w14:paraId="1D213EA5" w14:textId="77777777" w:rsidR="0017725B" w:rsidRDefault="005159FB" w:rsidP="000455B4">
            <w:pPr>
              <w:rPr>
                <w:b/>
                <w:u w:val="single"/>
              </w:rPr>
            </w:pPr>
            <w:r>
              <w:rPr>
                <w:b/>
                <w:u w:val="single"/>
              </w:rPr>
              <w:t>CRIMINAL JUSTICE IMPACT</w:t>
            </w:r>
          </w:p>
          <w:p w14:paraId="1F6CFECF" w14:textId="77777777" w:rsidR="0017725B" w:rsidRDefault="0017725B" w:rsidP="000455B4">
            <w:pPr>
              <w:rPr>
                <w:b/>
                <w:u w:val="single"/>
              </w:rPr>
            </w:pPr>
          </w:p>
          <w:p w14:paraId="0539EDCE" w14:textId="1A64B1FC" w:rsidR="003931E2" w:rsidRPr="003931E2" w:rsidRDefault="005159FB" w:rsidP="000455B4">
            <w:pPr>
              <w:jc w:val="both"/>
            </w:pPr>
            <w:r>
              <w:t>It is the committee's opinion that this bill does not expressly create a criminal offense, increase the punishment for an existing criminal offense or category of offenses, or change the elig</w:t>
            </w:r>
            <w:r>
              <w:t>ibility of a person for community supervision, parole, or mandatory supervision.</w:t>
            </w:r>
          </w:p>
          <w:p w14:paraId="2172C66B" w14:textId="77777777" w:rsidR="0017725B" w:rsidRPr="0017725B" w:rsidRDefault="0017725B" w:rsidP="000455B4">
            <w:pPr>
              <w:rPr>
                <w:b/>
                <w:u w:val="single"/>
              </w:rPr>
            </w:pPr>
          </w:p>
        </w:tc>
      </w:tr>
      <w:tr w:rsidR="00EF0279" w14:paraId="2ED9EBF0" w14:textId="77777777" w:rsidTr="00345119">
        <w:tc>
          <w:tcPr>
            <w:tcW w:w="9576" w:type="dxa"/>
          </w:tcPr>
          <w:p w14:paraId="72D90D43" w14:textId="77777777" w:rsidR="008423E4" w:rsidRPr="00A8133F" w:rsidRDefault="005159FB" w:rsidP="000455B4">
            <w:pPr>
              <w:rPr>
                <w:b/>
              </w:rPr>
            </w:pPr>
            <w:r w:rsidRPr="009C1E9A">
              <w:rPr>
                <w:b/>
                <w:u w:val="single"/>
              </w:rPr>
              <w:t>RULEMAKING AUTHORITY</w:t>
            </w:r>
            <w:r>
              <w:rPr>
                <w:b/>
              </w:rPr>
              <w:t xml:space="preserve"> </w:t>
            </w:r>
          </w:p>
          <w:p w14:paraId="0BDEC006" w14:textId="77777777" w:rsidR="008423E4" w:rsidRDefault="008423E4" w:rsidP="000455B4"/>
          <w:p w14:paraId="3A98B9FA" w14:textId="1023746E" w:rsidR="003931E2" w:rsidRDefault="005159FB" w:rsidP="000455B4">
            <w:pPr>
              <w:pStyle w:val="Header"/>
              <w:tabs>
                <w:tab w:val="clear" w:pos="4320"/>
                <w:tab w:val="clear" w:pos="8640"/>
              </w:tabs>
              <w:jc w:val="both"/>
            </w:pPr>
            <w:r>
              <w:t xml:space="preserve">It is the committee's opinion that this bill does not expressly grant any additional rulemaking authority to a state officer, department, </w:t>
            </w:r>
            <w:r>
              <w:t>agency, or institution.</w:t>
            </w:r>
          </w:p>
          <w:p w14:paraId="7AE14325" w14:textId="77777777" w:rsidR="008423E4" w:rsidRPr="00E21FDC" w:rsidRDefault="008423E4" w:rsidP="000455B4">
            <w:pPr>
              <w:rPr>
                <w:b/>
              </w:rPr>
            </w:pPr>
          </w:p>
        </w:tc>
      </w:tr>
      <w:tr w:rsidR="00EF0279" w14:paraId="2560074F" w14:textId="77777777" w:rsidTr="00345119">
        <w:tc>
          <w:tcPr>
            <w:tcW w:w="9576" w:type="dxa"/>
          </w:tcPr>
          <w:p w14:paraId="793D15A6" w14:textId="77777777" w:rsidR="008423E4" w:rsidRPr="00A8133F" w:rsidRDefault="005159FB" w:rsidP="000455B4">
            <w:pPr>
              <w:rPr>
                <w:b/>
              </w:rPr>
            </w:pPr>
            <w:r w:rsidRPr="009C1E9A">
              <w:rPr>
                <w:b/>
                <w:u w:val="single"/>
              </w:rPr>
              <w:t>ANALYSIS</w:t>
            </w:r>
            <w:r>
              <w:rPr>
                <w:b/>
              </w:rPr>
              <w:t xml:space="preserve"> </w:t>
            </w:r>
          </w:p>
          <w:p w14:paraId="37747BBD" w14:textId="77777777" w:rsidR="008423E4" w:rsidRDefault="008423E4" w:rsidP="000455B4"/>
          <w:p w14:paraId="0ABBD403" w14:textId="55EB5B83" w:rsidR="009C36CD" w:rsidRPr="009C36CD" w:rsidRDefault="005159FB" w:rsidP="000455B4">
            <w:pPr>
              <w:pStyle w:val="Header"/>
              <w:tabs>
                <w:tab w:val="clear" w:pos="4320"/>
                <w:tab w:val="clear" w:pos="8640"/>
              </w:tabs>
              <w:jc w:val="both"/>
            </w:pPr>
            <w:r>
              <w:t xml:space="preserve">H.B. 2747 amends the Tax Code to require the </w:t>
            </w:r>
            <w:r w:rsidRPr="00423D42">
              <w:t>chief appraiser of an appraisal district</w:t>
            </w:r>
            <w:r w:rsidR="00D83F94">
              <w:t xml:space="preserve">, not later than </w:t>
            </w:r>
            <w:r w:rsidR="00FE3BF5">
              <w:t>January</w:t>
            </w:r>
            <w:r w:rsidR="00FE3BF5">
              <w:rPr>
                <w:rStyle w:val="CommentReference"/>
              </w:rPr>
              <w:t> </w:t>
            </w:r>
            <w:r w:rsidR="00D83F94">
              <w:t>1, 2024,</w:t>
            </w:r>
            <w:r w:rsidR="00D83F94" w:rsidRPr="00423D42">
              <w:t xml:space="preserve"> </w:t>
            </w:r>
            <w:r>
              <w:t xml:space="preserve">to </w:t>
            </w:r>
            <w:r w:rsidRPr="00423D42">
              <w:t xml:space="preserve">develop </w:t>
            </w:r>
            <w:r w:rsidR="0077380E">
              <w:t xml:space="preserve">and implement </w:t>
            </w:r>
            <w:r w:rsidRPr="00423D42">
              <w:t>a program</w:t>
            </w:r>
            <w:r w:rsidR="00D83F94">
              <w:t xml:space="preserve"> </w:t>
            </w:r>
            <w:r w:rsidRPr="00423D42">
              <w:t xml:space="preserve">for the periodic review of each residence homestead </w:t>
            </w:r>
            <w:r w:rsidRPr="00423D42">
              <w:t>exemption granted by the district</w:t>
            </w:r>
            <w:r>
              <w:t xml:space="preserve"> </w:t>
            </w:r>
            <w:r w:rsidRPr="00423D42">
              <w:t>to confirm that the recipient still qualifies for the exemption</w:t>
            </w:r>
            <w:r>
              <w:t xml:space="preserve">. The </w:t>
            </w:r>
            <w:r w:rsidR="0062627B">
              <w:t xml:space="preserve">program </w:t>
            </w:r>
            <w:r w:rsidR="00D83F94">
              <w:t xml:space="preserve">must </w:t>
            </w:r>
            <w:r w:rsidR="0062627B">
              <w:t xml:space="preserve">require </w:t>
            </w:r>
            <w:r w:rsidR="0062627B" w:rsidRPr="0062627B">
              <w:t>the chief appraiser to review each residence homestead exemption at least once every five tax years</w:t>
            </w:r>
            <w:r w:rsidR="003931E2">
              <w:t xml:space="preserve">, with the first five-year review cycle </w:t>
            </w:r>
            <w:r w:rsidR="00D83F94">
              <w:t xml:space="preserve">beginning on </w:t>
            </w:r>
            <w:r w:rsidR="00FE3BF5">
              <w:t>January </w:t>
            </w:r>
            <w:r w:rsidR="003931E2">
              <w:t>1, 2024</w:t>
            </w:r>
            <w:r w:rsidR="0062627B" w:rsidRPr="0062627B">
              <w:t>.</w:t>
            </w:r>
            <w:r w:rsidR="0062627B">
              <w:t xml:space="preserve"> The program </w:t>
            </w:r>
            <w:r w:rsidR="00D83F94">
              <w:t>may</w:t>
            </w:r>
            <w:r w:rsidR="0062627B">
              <w:t xml:space="preserve"> provide for the review to take place in phases, with a portion of the exemptions reviewed in each tax year.</w:t>
            </w:r>
          </w:p>
          <w:p w14:paraId="62C11C1A" w14:textId="77777777" w:rsidR="008423E4" w:rsidRPr="00835628" w:rsidRDefault="008423E4" w:rsidP="000455B4">
            <w:pPr>
              <w:rPr>
                <w:b/>
              </w:rPr>
            </w:pPr>
          </w:p>
        </w:tc>
      </w:tr>
      <w:tr w:rsidR="00EF0279" w14:paraId="103C8C7D" w14:textId="77777777" w:rsidTr="00345119">
        <w:tc>
          <w:tcPr>
            <w:tcW w:w="9576" w:type="dxa"/>
          </w:tcPr>
          <w:p w14:paraId="700530D2" w14:textId="77777777" w:rsidR="008423E4" w:rsidRPr="00A8133F" w:rsidRDefault="005159FB" w:rsidP="000455B4">
            <w:pPr>
              <w:rPr>
                <w:b/>
              </w:rPr>
            </w:pPr>
            <w:r w:rsidRPr="009C1E9A">
              <w:rPr>
                <w:b/>
                <w:u w:val="single"/>
              </w:rPr>
              <w:t>EFFECTIVE DATE</w:t>
            </w:r>
            <w:r>
              <w:rPr>
                <w:b/>
              </w:rPr>
              <w:t xml:space="preserve"> </w:t>
            </w:r>
          </w:p>
          <w:p w14:paraId="122EE14D" w14:textId="77777777" w:rsidR="008423E4" w:rsidRDefault="008423E4" w:rsidP="000455B4"/>
          <w:p w14:paraId="2B8607F0" w14:textId="240CC23A" w:rsidR="008423E4" w:rsidRPr="003624F2" w:rsidRDefault="005159FB" w:rsidP="000455B4">
            <w:pPr>
              <w:pStyle w:val="Header"/>
              <w:tabs>
                <w:tab w:val="clear" w:pos="4320"/>
                <w:tab w:val="clear" w:pos="8640"/>
              </w:tabs>
              <w:jc w:val="both"/>
            </w:pPr>
            <w:r>
              <w:t>September 1, 2023.</w:t>
            </w:r>
          </w:p>
          <w:p w14:paraId="4FEB482B" w14:textId="77777777" w:rsidR="008423E4" w:rsidRPr="00233FDB" w:rsidRDefault="008423E4" w:rsidP="000455B4">
            <w:pPr>
              <w:rPr>
                <w:b/>
              </w:rPr>
            </w:pPr>
          </w:p>
        </w:tc>
      </w:tr>
    </w:tbl>
    <w:p w14:paraId="7DE65C57" w14:textId="77777777" w:rsidR="008423E4" w:rsidRPr="00BE0E75" w:rsidRDefault="008423E4" w:rsidP="000455B4">
      <w:pPr>
        <w:jc w:val="both"/>
        <w:rPr>
          <w:rFonts w:ascii="Arial" w:hAnsi="Arial"/>
          <w:sz w:val="16"/>
          <w:szCs w:val="16"/>
        </w:rPr>
      </w:pPr>
    </w:p>
    <w:p w14:paraId="09717A02" w14:textId="77777777" w:rsidR="004108C3" w:rsidRPr="008423E4" w:rsidRDefault="004108C3" w:rsidP="000455B4"/>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79880" w14:textId="77777777" w:rsidR="00000000" w:rsidRDefault="005159FB">
      <w:r>
        <w:separator/>
      </w:r>
    </w:p>
  </w:endnote>
  <w:endnote w:type="continuationSeparator" w:id="0">
    <w:p w14:paraId="61B4715F" w14:textId="77777777" w:rsidR="00000000" w:rsidRDefault="00515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F1921"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EF0279" w14:paraId="5B6C7BDA" w14:textId="77777777" w:rsidTr="009C1E9A">
      <w:trPr>
        <w:cantSplit/>
      </w:trPr>
      <w:tc>
        <w:tcPr>
          <w:tcW w:w="0" w:type="pct"/>
        </w:tcPr>
        <w:p w14:paraId="7983052B" w14:textId="77777777" w:rsidR="00137D90" w:rsidRDefault="00137D90" w:rsidP="009C1E9A">
          <w:pPr>
            <w:pStyle w:val="Footer"/>
            <w:tabs>
              <w:tab w:val="clear" w:pos="8640"/>
              <w:tab w:val="right" w:pos="9360"/>
            </w:tabs>
          </w:pPr>
        </w:p>
      </w:tc>
      <w:tc>
        <w:tcPr>
          <w:tcW w:w="2395" w:type="pct"/>
        </w:tcPr>
        <w:p w14:paraId="326A4393" w14:textId="77777777" w:rsidR="00137D90" w:rsidRDefault="00137D90" w:rsidP="009C1E9A">
          <w:pPr>
            <w:pStyle w:val="Footer"/>
            <w:tabs>
              <w:tab w:val="clear" w:pos="8640"/>
              <w:tab w:val="right" w:pos="9360"/>
            </w:tabs>
          </w:pPr>
        </w:p>
        <w:p w14:paraId="31AF291B" w14:textId="77777777" w:rsidR="001A4310" w:rsidRDefault="001A4310" w:rsidP="009C1E9A">
          <w:pPr>
            <w:pStyle w:val="Footer"/>
            <w:tabs>
              <w:tab w:val="clear" w:pos="8640"/>
              <w:tab w:val="right" w:pos="9360"/>
            </w:tabs>
          </w:pPr>
        </w:p>
        <w:p w14:paraId="27C8CE52" w14:textId="77777777" w:rsidR="00137D90" w:rsidRDefault="00137D90" w:rsidP="009C1E9A">
          <w:pPr>
            <w:pStyle w:val="Footer"/>
            <w:tabs>
              <w:tab w:val="clear" w:pos="8640"/>
              <w:tab w:val="right" w:pos="9360"/>
            </w:tabs>
          </w:pPr>
        </w:p>
      </w:tc>
      <w:tc>
        <w:tcPr>
          <w:tcW w:w="2453" w:type="pct"/>
        </w:tcPr>
        <w:p w14:paraId="5D9FEDA3" w14:textId="77777777" w:rsidR="00137D90" w:rsidRDefault="00137D90" w:rsidP="009C1E9A">
          <w:pPr>
            <w:pStyle w:val="Footer"/>
            <w:tabs>
              <w:tab w:val="clear" w:pos="8640"/>
              <w:tab w:val="right" w:pos="9360"/>
            </w:tabs>
            <w:jc w:val="right"/>
          </w:pPr>
        </w:p>
      </w:tc>
    </w:tr>
    <w:tr w:rsidR="00EF0279" w14:paraId="524C7A06" w14:textId="77777777" w:rsidTr="009C1E9A">
      <w:trPr>
        <w:cantSplit/>
      </w:trPr>
      <w:tc>
        <w:tcPr>
          <w:tcW w:w="0" w:type="pct"/>
        </w:tcPr>
        <w:p w14:paraId="6BD83AC7" w14:textId="77777777" w:rsidR="00EC379B" w:rsidRDefault="00EC379B" w:rsidP="009C1E9A">
          <w:pPr>
            <w:pStyle w:val="Footer"/>
            <w:tabs>
              <w:tab w:val="clear" w:pos="8640"/>
              <w:tab w:val="right" w:pos="9360"/>
            </w:tabs>
          </w:pPr>
        </w:p>
      </w:tc>
      <w:tc>
        <w:tcPr>
          <w:tcW w:w="2395" w:type="pct"/>
        </w:tcPr>
        <w:p w14:paraId="6153C34D" w14:textId="5C80FEE1" w:rsidR="00EC379B" w:rsidRPr="009C1E9A" w:rsidRDefault="005159FB" w:rsidP="009C1E9A">
          <w:pPr>
            <w:pStyle w:val="Footer"/>
            <w:tabs>
              <w:tab w:val="clear" w:pos="8640"/>
              <w:tab w:val="right" w:pos="9360"/>
            </w:tabs>
            <w:rPr>
              <w:rFonts w:ascii="Shruti" w:hAnsi="Shruti"/>
              <w:sz w:val="22"/>
            </w:rPr>
          </w:pPr>
          <w:r>
            <w:rPr>
              <w:rFonts w:ascii="Shruti" w:hAnsi="Shruti"/>
              <w:sz w:val="22"/>
            </w:rPr>
            <w:t>88R 24517-D</w:t>
          </w:r>
        </w:p>
      </w:tc>
      <w:tc>
        <w:tcPr>
          <w:tcW w:w="2453" w:type="pct"/>
        </w:tcPr>
        <w:p w14:paraId="65784719" w14:textId="7FE5939A" w:rsidR="00EC379B" w:rsidRDefault="005159FB" w:rsidP="009C1E9A">
          <w:pPr>
            <w:pStyle w:val="Footer"/>
            <w:tabs>
              <w:tab w:val="clear" w:pos="8640"/>
              <w:tab w:val="right" w:pos="9360"/>
            </w:tabs>
            <w:jc w:val="right"/>
          </w:pPr>
          <w:r>
            <w:fldChar w:fldCharType="begin"/>
          </w:r>
          <w:r>
            <w:instrText xml:space="preserve"> DOCPROPERTY  OTID  \* MERGEFORMAT </w:instrText>
          </w:r>
          <w:r>
            <w:fldChar w:fldCharType="separate"/>
          </w:r>
          <w:r w:rsidR="00586F90">
            <w:t>23.110.163</w:t>
          </w:r>
          <w:r>
            <w:fldChar w:fldCharType="end"/>
          </w:r>
        </w:p>
      </w:tc>
    </w:tr>
    <w:tr w:rsidR="00EF0279" w14:paraId="6BB4DFE3" w14:textId="77777777" w:rsidTr="009C1E9A">
      <w:trPr>
        <w:cantSplit/>
      </w:trPr>
      <w:tc>
        <w:tcPr>
          <w:tcW w:w="0" w:type="pct"/>
        </w:tcPr>
        <w:p w14:paraId="5AF22041" w14:textId="77777777" w:rsidR="00EC379B" w:rsidRDefault="00EC379B" w:rsidP="009C1E9A">
          <w:pPr>
            <w:pStyle w:val="Footer"/>
            <w:tabs>
              <w:tab w:val="clear" w:pos="4320"/>
              <w:tab w:val="clear" w:pos="8640"/>
              <w:tab w:val="left" w:pos="2865"/>
            </w:tabs>
          </w:pPr>
        </w:p>
      </w:tc>
      <w:tc>
        <w:tcPr>
          <w:tcW w:w="2395" w:type="pct"/>
        </w:tcPr>
        <w:p w14:paraId="15CC42EB"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582FFB06" w14:textId="77777777" w:rsidR="00EC379B" w:rsidRDefault="00EC379B" w:rsidP="006D504F">
          <w:pPr>
            <w:pStyle w:val="Footer"/>
            <w:rPr>
              <w:rStyle w:val="PageNumber"/>
            </w:rPr>
          </w:pPr>
        </w:p>
        <w:p w14:paraId="43BE0439" w14:textId="77777777" w:rsidR="00EC379B" w:rsidRDefault="00EC379B" w:rsidP="009C1E9A">
          <w:pPr>
            <w:pStyle w:val="Footer"/>
            <w:tabs>
              <w:tab w:val="clear" w:pos="8640"/>
              <w:tab w:val="right" w:pos="9360"/>
            </w:tabs>
            <w:jc w:val="right"/>
          </w:pPr>
        </w:p>
      </w:tc>
    </w:tr>
    <w:tr w:rsidR="00EF0279" w14:paraId="087D8A36" w14:textId="77777777" w:rsidTr="009C1E9A">
      <w:trPr>
        <w:cantSplit/>
        <w:trHeight w:val="323"/>
      </w:trPr>
      <w:tc>
        <w:tcPr>
          <w:tcW w:w="0" w:type="pct"/>
          <w:gridSpan w:val="3"/>
        </w:tcPr>
        <w:p w14:paraId="14FDF7DC" w14:textId="77777777" w:rsidR="00EC379B" w:rsidRDefault="005159FB"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E1A7814" w14:textId="77777777" w:rsidR="00EC379B" w:rsidRDefault="00EC379B" w:rsidP="009C1E9A">
          <w:pPr>
            <w:pStyle w:val="Footer"/>
            <w:tabs>
              <w:tab w:val="clear" w:pos="8640"/>
              <w:tab w:val="right" w:pos="9360"/>
            </w:tabs>
            <w:jc w:val="center"/>
          </w:pPr>
        </w:p>
      </w:tc>
    </w:tr>
  </w:tbl>
  <w:p w14:paraId="532BDF4E"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ABB65"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38928" w14:textId="77777777" w:rsidR="00000000" w:rsidRDefault="005159FB">
      <w:r>
        <w:separator/>
      </w:r>
    </w:p>
  </w:footnote>
  <w:footnote w:type="continuationSeparator" w:id="0">
    <w:p w14:paraId="39FF8336" w14:textId="77777777" w:rsidR="00000000" w:rsidRDefault="00515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C8622"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AF996"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850D6"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D42"/>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55B4"/>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58D3"/>
    <w:rsid w:val="001968BC"/>
    <w:rsid w:val="001A0739"/>
    <w:rsid w:val="001A0F00"/>
    <w:rsid w:val="001A2BDD"/>
    <w:rsid w:val="001A3DDF"/>
    <w:rsid w:val="001A4310"/>
    <w:rsid w:val="001B053A"/>
    <w:rsid w:val="001B26D8"/>
    <w:rsid w:val="001B3BFA"/>
    <w:rsid w:val="001B75B8"/>
    <w:rsid w:val="001C1230"/>
    <w:rsid w:val="001C3467"/>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2DFF"/>
    <w:rsid w:val="003747DF"/>
    <w:rsid w:val="00377E3D"/>
    <w:rsid w:val="003847E8"/>
    <w:rsid w:val="0038731D"/>
    <w:rsid w:val="00387B60"/>
    <w:rsid w:val="00390098"/>
    <w:rsid w:val="00392DA1"/>
    <w:rsid w:val="003931E2"/>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5CE8"/>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D42"/>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4F7308"/>
    <w:rsid w:val="004F7997"/>
    <w:rsid w:val="00500121"/>
    <w:rsid w:val="005017AC"/>
    <w:rsid w:val="00501E8A"/>
    <w:rsid w:val="00505121"/>
    <w:rsid w:val="00505C04"/>
    <w:rsid w:val="00505F1B"/>
    <w:rsid w:val="005073E8"/>
    <w:rsid w:val="00510503"/>
    <w:rsid w:val="0051324D"/>
    <w:rsid w:val="00515466"/>
    <w:rsid w:val="005154F7"/>
    <w:rsid w:val="005159DE"/>
    <w:rsid w:val="005159FB"/>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6F90"/>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627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8775D"/>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4C0A"/>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31E4"/>
    <w:rsid w:val="00717739"/>
    <w:rsid w:val="00717DE4"/>
    <w:rsid w:val="00721724"/>
    <w:rsid w:val="00722EC5"/>
    <w:rsid w:val="00723326"/>
    <w:rsid w:val="00724252"/>
    <w:rsid w:val="00727E7A"/>
    <w:rsid w:val="0073101D"/>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380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6AD5"/>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3E05"/>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31D6"/>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2ED"/>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3F94"/>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0BEC"/>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0279"/>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171C"/>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3BF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6F0D508-3C53-4ECB-AD2B-0B0EBEF9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62627B"/>
    <w:rPr>
      <w:sz w:val="16"/>
      <w:szCs w:val="16"/>
    </w:rPr>
  </w:style>
  <w:style w:type="paragraph" w:styleId="CommentText">
    <w:name w:val="annotation text"/>
    <w:basedOn w:val="Normal"/>
    <w:link w:val="CommentTextChar"/>
    <w:semiHidden/>
    <w:unhideWhenUsed/>
    <w:rsid w:val="0062627B"/>
    <w:rPr>
      <w:sz w:val="20"/>
      <w:szCs w:val="20"/>
    </w:rPr>
  </w:style>
  <w:style w:type="character" w:customStyle="1" w:styleId="CommentTextChar">
    <w:name w:val="Comment Text Char"/>
    <w:basedOn w:val="DefaultParagraphFont"/>
    <w:link w:val="CommentText"/>
    <w:semiHidden/>
    <w:rsid w:val="0062627B"/>
  </w:style>
  <w:style w:type="paragraph" w:styleId="CommentSubject">
    <w:name w:val="annotation subject"/>
    <w:basedOn w:val="CommentText"/>
    <w:next w:val="CommentText"/>
    <w:link w:val="CommentSubjectChar"/>
    <w:semiHidden/>
    <w:unhideWhenUsed/>
    <w:rsid w:val="0062627B"/>
    <w:rPr>
      <w:b/>
      <w:bCs/>
    </w:rPr>
  </w:style>
  <w:style w:type="character" w:customStyle="1" w:styleId="CommentSubjectChar">
    <w:name w:val="Comment Subject Char"/>
    <w:basedOn w:val="CommentTextChar"/>
    <w:link w:val="CommentSubject"/>
    <w:semiHidden/>
    <w:rsid w:val="0062627B"/>
    <w:rPr>
      <w:b/>
      <w:bCs/>
    </w:rPr>
  </w:style>
  <w:style w:type="paragraph" w:styleId="Revision">
    <w:name w:val="Revision"/>
    <w:hidden/>
    <w:uiPriority w:val="99"/>
    <w:semiHidden/>
    <w:rsid w:val="00FE3B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2164</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BA - HB02747 (Committee Report (Unamended))</vt:lpstr>
    </vt:vector>
  </TitlesOfParts>
  <Company>State of Texas</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24517</dc:subject>
  <dc:creator>State of Texas</dc:creator>
  <dc:description>HB 2747 by Darby-(H)Ways &amp; Means</dc:description>
  <cp:lastModifiedBy>Thomas Weis</cp:lastModifiedBy>
  <cp:revision>2</cp:revision>
  <cp:lastPrinted>2003-11-26T17:21:00Z</cp:lastPrinted>
  <dcterms:created xsi:type="dcterms:W3CDTF">2023-04-28T00:53:00Z</dcterms:created>
  <dcterms:modified xsi:type="dcterms:W3CDTF">2023-04-28T00:53:00Z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23.110.163</vt:lpwstr>
  </property>
</Properties>
</file>